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drawings/drawing5.xml" ContentType="application/vnd.openxmlformats-officedocument.drawingml.chartshapes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430" w:rsidRPr="00BE21DC" w:rsidRDefault="00F14430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030304C" wp14:editId="43B9B085">
            <wp:extent cx="5404485" cy="805180"/>
            <wp:effectExtent l="19050" t="0" r="5715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 xml:space="preserve">  PROKURORIA E PËRGJITHSHME</w:t>
      </w:r>
    </w:p>
    <w:p w:rsidR="00F14430" w:rsidRPr="00BE21DC" w:rsidRDefault="00F14430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>PROKURORI I PËRGJITHSHËM</w:t>
      </w:r>
    </w:p>
    <w:p w:rsidR="00F14430" w:rsidRPr="00BE21DC" w:rsidRDefault="00F14430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F14430" w:rsidRPr="00BE21DC" w:rsidRDefault="00F14430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 xml:space="preserve">RAPORTI </w:t>
      </w:r>
    </w:p>
    <w:p w:rsidR="00F14430" w:rsidRPr="00BE21DC" w:rsidRDefault="00F14430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 xml:space="preserve">I PROKURORIT TË PËRGJITHSHËM </w:t>
      </w:r>
    </w:p>
    <w:p w:rsidR="00F14430" w:rsidRPr="00BE21DC" w:rsidRDefault="00F14430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 xml:space="preserve">“MBI ECURINË E VEPRIMTARISË SË PROKURORIVE </w:t>
      </w:r>
    </w:p>
    <w:p w:rsidR="00F14430" w:rsidRPr="00BE21DC" w:rsidRDefault="00F14430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 xml:space="preserve">TË JURIDIKSIONIT TË PËRGJITHSHËM </w:t>
      </w:r>
    </w:p>
    <w:p w:rsidR="00F14430" w:rsidRPr="00BE21DC" w:rsidRDefault="00F14430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>PËR VITIN 202</w:t>
      </w:r>
      <w:r w:rsidR="00AC16CC" w:rsidRPr="00BE21DC">
        <w:rPr>
          <w:rFonts w:ascii="Times New Roman" w:hAnsi="Times New Roman"/>
          <w:b/>
          <w:noProof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>”</w:t>
      </w:r>
    </w:p>
    <w:p w:rsidR="00F14430" w:rsidRPr="00BE21DC" w:rsidRDefault="00F14430" w:rsidP="00F1443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>
      <w:pPr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>
      <w:pPr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>
      <w:pPr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>
      <w:pPr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>
      <w:pPr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>
      <w:pPr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>
      <w:pPr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>
      <w:pPr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>
      <w:pPr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444828" w:rsidRPr="00BE21DC" w:rsidRDefault="00444828">
      <w:pPr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BE21DC" w:rsidRDefault="00BE21DC" w:rsidP="00444828">
      <w:pPr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BE21DC" w:rsidRDefault="00BE21DC" w:rsidP="00444828">
      <w:pPr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2051DF" w:rsidRPr="00BE21DC" w:rsidRDefault="00444828" w:rsidP="00444828">
      <w:pPr>
        <w:jc w:val="center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>Tiran</w:t>
      </w:r>
      <w:r w:rsidR="002E4A7E" w:rsidRPr="00BE21DC">
        <w:rPr>
          <w:rFonts w:ascii="Times New Roman" w:hAnsi="Times New Roman"/>
          <w:b/>
          <w:noProof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 xml:space="preserve">, </w:t>
      </w:r>
      <w:r w:rsidR="008E45A7" w:rsidRPr="00BE21DC">
        <w:rPr>
          <w:rFonts w:ascii="Times New Roman" w:hAnsi="Times New Roman"/>
          <w:b/>
          <w:noProof/>
          <w:sz w:val="24"/>
          <w:szCs w:val="24"/>
          <w:lang w:val="sq-AL"/>
        </w:rPr>
        <w:t xml:space="preserve">16 </w:t>
      </w: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>Maj 2022</w:t>
      </w:r>
    </w:p>
    <w:p w:rsidR="002051DF" w:rsidRPr="00BE21DC" w:rsidRDefault="002051DF">
      <w:pPr>
        <w:rPr>
          <w:rStyle w:val="Strong"/>
          <w:rFonts w:ascii="Times New Roman" w:hAnsi="Times New Roman" w:cs="Times New Roman"/>
          <w:caps/>
          <w:color w:val="000000" w:themeColor="text1"/>
          <w:sz w:val="24"/>
          <w:szCs w:val="24"/>
          <w:lang w:val="sq-AL"/>
        </w:rPr>
      </w:pPr>
      <w:bookmarkStart w:id="0" w:name="_Toc511912341"/>
    </w:p>
    <w:p w:rsidR="002051DF" w:rsidRPr="00BE21DC" w:rsidRDefault="002051DF" w:rsidP="002051DF">
      <w:pPr>
        <w:pStyle w:val="NoSpacing"/>
        <w:jc w:val="center"/>
        <w:rPr>
          <w:rStyle w:val="Strong"/>
          <w:rFonts w:ascii="Times New Roman" w:hAnsi="Times New Roman" w:cs="Times New Roman"/>
          <w:caps/>
          <w:color w:val="000000" w:themeColor="text1"/>
          <w:sz w:val="24"/>
          <w:szCs w:val="24"/>
          <w:lang w:val="sq-AL"/>
        </w:rPr>
      </w:pPr>
      <w:r w:rsidRPr="00BE21DC">
        <w:rPr>
          <w:rStyle w:val="Strong"/>
          <w:rFonts w:ascii="Times New Roman" w:hAnsi="Times New Roman" w:cs="Times New Roman"/>
          <w:caps/>
          <w:color w:val="000000" w:themeColor="text1"/>
          <w:sz w:val="24"/>
          <w:szCs w:val="24"/>
          <w:lang w:val="sq-AL"/>
        </w:rPr>
        <w:t>Pasqyra e lëndës</w:t>
      </w:r>
      <w:bookmarkEnd w:id="0"/>
    </w:p>
    <w:p w:rsidR="002051DF" w:rsidRPr="00BE21DC" w:rsidRDefault="002051DF" w:rsidP="002051DF">
      <w:pPr>
        <w:pStyle w:val="TOC1"/>
        <w:rPr>
          <w:rFonts w:ascii="Times New Roman" w:eastAsiaTheme="minorEastAsia" w:hAnsi="Times New Roman" w:cs="Times New Roman"/>
          <w:b w:val="0"/>
          <w:bCs w:val="0"/>
          <w:smallCaps w:val="0"/>
          <w:noProof/>
          <w:color w:val="000000" w:themeColor="text1"/>
          <w:sz w:val="24"/>
          <w:szCs w:val="24"/>
          <w:lang w:val="en-US"/>
        </w:rPr>
      </w:pPr>
      <w:r w:rsidRPr="00BE21D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fldChar w:fldCharType="begin"/>
      </w:r>
      <w:r w:rsidRPr="00BE21D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instrText xml:space="preserve"> TOC \o "1-3" \h \z \u </w:instrText>
      </w:r>
      <w:r w:rsidRPr="00BE21D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fldChar w:fldCharType="separate"/>
      </w:r>
      <w:hyperlink w:anchor="_Toc74811540" w:history="1">
        <w:r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 xml:space="preserve">Hyrje </w:t>
        </w:r>
        <w:r w:rsidRPr="00BE21DC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Pr="00BE21DC">
        <w:rPr>
          <w:rFonts w:ascii="Times New Roman" w:hAnsi="Times New Roman" w:cs="Times New Roman"/>
        </w:rPr>
        <w:t>3</w:t>
      </w:r>
    </w:p>
    <w:p w:rsidR="002051DF" w:rsidRPr="00BE21DC" w:rsidRDefault="005120F4" w:rsidP="002051DF">
      <w:pPr>
        <w:pStyle w:val="TOC1"/>
        <w:rPr>
          <w:rFonts w:ascii="Times New Roman" w:eastAsiaTheme="minorEastAsia" w:hAnsi="Times New Roman" w:cs="Times New Roman"/>
          <w:b w:val="0"/>
          <w:bCs w:val="0"/>
          <w:smallCaps w:val="0"/>
          <w:noProof/>
          <w:color w:val="000000" w:themeColor="text1"/>
          <w:sz w:val="24"/>
          <w:szCs w:val="24"/>
          <w:lang w:val="en-US"/>
        </w:rPr>
      </w:pPr>
      <w:hyperlink w:anchor="_Toc74811541" w:history="1">
        <w:r w:rsidR="00080319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I.</w:t>
        </w:r>
        <w:r w:rsidR="002051DF" w:rsidRPr="00BE21DC">
          <w:rPr>
            <w:rFonts w:ascii="Times New Roman" w:eastAsiaTheme="minorEastAsia" w:hAnsi="Times New Roman" w:cs="Times New Roman"/>
            <w:b w:val="0"/>
            <w:bCs w:val="0"/>
            <w:smallCaps w:val="0"/>
            <w:noProof/>
            <w:color w:val="000000" w:themeColor="text1"/>
            <w:sz w:val="24"/>
            <w:szCs w:val="24"/>
            <w:lang w:val="en-US"/>
          </w:rPr>
          <w:tab/>
        </w:r>
        <w:r w:rsidR="002051DF" w:rsidRPr="00BE21DC">
          <w:rPr>
            <w:rFonts w:ascii="Times New Roman" w:hAnsi="Times New Roman" w:cs="Times New Roman"/>
            <w:sz w:val="24"/>
            <w:szCs w:val="24"/>
          </w:rPr>
          <w:t>Organizimi i brendshëm, gjendja, progresi, problematikat dhe mbështeja që kërkohet</w:t>
        </w:r>
        <w:r w:rsidR="002051DF" w:rsidRPr="00BE21DC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="002051DF" w:rsidRPr="00BE21DC">
        <w:rPr>
          <w:rFonts w:ascii="Times New Roman" w:hAnsi="Times New Roman" w:cs="Times New Roman"/>
        </w:rPr>
        <w:t>4</w:t>
      </w:r>
    </w:p>
    <w:p w:rsidR="002051DF" w:rsidRPr="00BE21DC" w:rsidRDefault="005120F4" w:rsidP="002051DF">
      <w:pPr>
        <w:pStyle w:val="TOC1"/>
        <w:rPr>
          <w:rFonts w:ascii="Times New Roman" w:eastAsiaTheme="minorEastAsia" w:hAnsi="Times New Roman" w:cs="Times New Roman"/>
          <w:b w:val="0"/>
          <w:bCs w:val="0"/>
          <w:smallCaps w:val="0"/>
          <w:noProof/>
          <w:color w:val="000000" w:themeColor="text1"/>
          <w:sz w:val="24"/>
          <w:szCs w:val="24"/>
          <w:lang w:val="en-US"/>
        </w:rPr>
      </w:pPr>
      <w:hyperlink w:anchor="_Toc74811545" w:history="1">
        <w:r w:rsidR="00080319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II.</w:t>
        </w:r>
        <w:r w:rsidR="002051DF" w:rsidRPr="00BE21DC">
          <w:rPr>
            <w:rFonts w:ascii="Times New Roman" w:eastAsiaTheme="minorEastAsia" w:hAnsi="Times New Roman" w:cs="Times New Roman"/>
            <w:b w:val="0"/>
            <w:bCs w:val="0"/>
            <w:smallCaps w:val="0"/>
            <w:noProof/>
            <w:color w:val="000000" w:themeColor="text1"/>
            <w:sz w:val="24"/>
            <w:szCs w:val="24"/>
            <w:lang w:val="en-US"/>
          </w:rPr>
          <w:tab/>
        </w:r>
        <w:r w:rsidR="002051DF" w:rsidRPr="00BE21DC">
          <w:rPr>
            <w:rFonts w:ascii="Times New Roman" w:hAnsi="Times New Roman" w:cs="Times New Roman"/>
            <w:sz w:val="24"/>
            <w:szCs w:val="24"/>
          </w:rPr>
          <w:t>Veprimtaria e prokurorive, problematikat dhe çështjet që kërkojnë vëmendje</w:t>
        </w:r>
        <w:r w:rsidR="002051DF" w:rsidRPr="00BE21DC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="00867020" w:rsidRPr="00BE21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</w:t>
      </w:r>
    </w:p>
    <w:p w:rsidR="002051DF" w:rsidRPr="00BE21DC" w:rsidRDefault="005120F4" w:rsidP="002051DF">
      <w:pPr>
        <w:pStyle w:val="TOC2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hyperlink w:anchor="_Toc74811546" w:history="1">
        <w:r w:rsidR="00080319" w:rsidRPr="00BE21DC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1.</w:t>
        </w:r>
        <w:r w:rsidR="002051DF" w:rsidRPr="00BE21D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val="en-US"/>
          </w:rPr>
          <w:tab/>
        </w:r>
        <w:r w:rsidR="00080319" w:rsidRPr="00BE21DC">
          <w:rPr>
            <w:rFonts w:ascii="Times New Roman" w:hAnsi="Times New Roman" w:cs="Times New Roman"/>
            <w:color w:val="auto"/>
          </w:rPr>
          <w:t>Veprimtaria e prokurorive të shkallës së parë me juridiksion të përgjithshëm</w:t>
        </w:r>
        <w:r w:rsidR="002051DF" w:rsidRPr="00BE21DC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</w:hyperlink>
      <w:r w:rsidR="00867020"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2051DF" w:rsidRPr="00BE21DC" w:rsidRDefault="005120F4" w:rsidP="002051DF">
      <w:pPr>
        <w:pStyle w:val="TOC3"/>
        <w:tabs>
          <w:tab w:val="left" w:pos="1320"/>
          <w:tab w:val="right" w:leader="dot" w:pos="9016"/>
        </w:tabs>
        <w:rPr>
          <w:rFonts w:ascii="Times New Roman" w:eastAsiaTheme="minorEastAsia" w:hAnsi="Times New Roman" w:cs="Times New Roman"/>
          <w:iCs w:val="0"/>
          <w:noProof/>
          <w:color w:val="000000" w:themeColor="text1"/>
          <w:sz w:val="24"/>
          <w:szCs w:val="24"/>
          <w:lang w:val="en-US"/>
        </w:rPr>
      </w:pPr>
      <w:hyperlink w:anchor="_Toc74811547" w:history="1">
        <w:r w:rsidR="00080319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 xml:space="preserve">   i)</w:t>
        </w:r>
        <w:r w:rsidR="00080319" w:rsidRPr="00BE21DC">
          <w:rPr>
            <w:rFonts w:ascii="Times New Roman" w:eastAsiaTheme="minorEastAsia" w:hAnsi="Times New Roman" w:cs="Times New Roman"/>
            <w:iCs w:val="0"/>
            <w:noProof/>
            <w:color w:val="000000" w:themeColor="text1"/>
            <w:sz w:val="24"/>
            <w:szCs w:val="24"/>
            <w:lang w:val="en-US"/>
          </w:rPr>
          <w:t xml:space="preserve">   </w:t>
        </w:r>
        <w:r w:rsidR="00080319" w:rsidRPr="00BE21DC">
          <w:rPr>
            <w:rFonts w:ascii="Times New Roman" w:hAnsi="Times New Roman" w:cs="Times New Roman"/>
            <w:lang w:val="sq-AL"/>
          </w:rPr>
          <w:t>Përformanca e prokurorive pranë gjykatave të shkallës së parë</w:t>
        </w:r>
        <w:r w:rsidR="00080319" w:rsidRPr="00BE21DC">
          <w:rPr>
            <w:rFonts w:ascii="Times New Roman" w:hAnsi="Times New Roman" w:cs="Times New Roman"/>
            <w:b/>
            <w:lang w:val="sq-AL"/>
          </w:rPr>
          <w:t>.</w:t>
        </w:r>
        <w:r w:rsidR="002051DF" w:rsidRPr="00BE21DC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="00867020" w:rsidRPr="00BE21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7</w:t>
      </w:r>
    </w:p>
    <w:p w:rsidR="002051DF" w:rsidRPr="00BE21DC" w:rsidRDefault="005935B4" w:rsidP="005935B4">
      <w:pPr>
        <w:pStyle w:val="Default"/>
        <w:spacing w:line="276" w:lineRule="auto"/>
        <w:ind w:left="-6" w:firstLine="366"/>
        <w:jc w:val="both"/>
        <w:rPr>
          <w:rFonts w:ascii="Times New Roman" w:eastAsiaTheme="minorEastAsia" w:hAnsi="Times New Roman" w:cs="Times New Roman"/>
          <w:iCs/>
          <w:noProof/>
          <w:color w:val="000000" w:themeColor="text1"/>
        </w:rPr>
      </w:pPr>
      <w:r w:rsidRPr="00BE21DC">
        <w:rPr>
          <w:rFonts w:ascii="Times New Roman" w:hAnsi="Times New Roman" w:cs="Times New Roman"/>
        </w:rPr>
        <w:t xml:space="preserve">         </w:t>
      </w:r>
      <w:hyperlink w:anchor="_Toc74811548" w:history="1">
        <w:r w:rsidRPr="00BE21DC">
          <w:rPr>
            <w:rFonts w:ascii="Times New Roman" w:hAnsi="Times New Roman" w:cs="Times New Roman"/>
            <w:i/>
            <w:lang w:val="sq-AL"/>
          </w:rPr>
          <w:t>-Procedime të regjistruara/procedime të përfunduara (Niveli i efikasitetit)</w:t>
        </w:r>
        <w:r w:rsidR="00867020" w:rsidRPr="00BE21DC">
          <w:rPr>
            <w:rFonts w:ascii="Times New Roman" w:hAnsi="Times New Roman" w:cs="Times New Roman"/>
            <w:i/>
            <w:lang w:val="sq-AL"/>
          </w:rPr>
          <w:t>......</w:t>
        </w:r>
        <w:r w:rsidR="00E44372">
          <w:rPr>
            <w:rFonts w:ascii="Times New Roman" w:hAnsi="Times New Roman" w:cs="Times New Roman"/>
            <w:i/>
            <w:lang w:val="sq-AL"/>
          </w:rPr>
          <w:t>....</w:t>
        </w:r>
        <w:r w:rsidR="002051DF" w:rsidRPr="00BE21DC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</w:hyperlink>
      <w:r w:rsidR="00BE21DC" w:rsidRPr="00BE21DC">
        <w:rPr>
          <w:rFonts w:ascii="Times New Roman" w:hAnsi="Times New Roman" w:cs="Times New Roman"/>
          <w:noProof/>
          <w:color w:val="000000" w:themeColor="text1"/>
        </w:rPr>
        <w:t>.</w:t>
      </w:r>
      <w:r w:rsidRPr="00BE21DC">
        <w:rPr>
          <w:rFonts w:ascii="Times New Roman" w:hAnsi="Times New Roman" w:cs="Times New Roman"/>
        </w:rPr>
        <w:t xml:space="preserve">  </w:t>
      </w:r>
      <w:r w:rsidR="0000001F" w:rsidRPr="00BE21DC">
        <w:rPr>
          <w:rFonts w:ascii="Times New Roman" w:hAnsi="Times New Roman" w:cs="Times New Roman"/>
        </w:rPr>
        <w:t>7</w:t>
      </w:r>
    </w:p>
    <w:p w:rsidR="002051DF" w:rsidRPr="00BE21DC" w:rsidRDefault="005935B4" w:rsidP="005935B4">
      <w:pPr>
        <w:pStyle w:val="NoSpacing"/>
        <w:spacing w:line="276" w:lineRule="auto"/>
        <w:ind w:firstLine="360"/>
        <w:jc w:val="both"/>
        <w:rPr>
          <w:rFonts w:ascii="Times New Roman" w:eastAsiaTheme="minorEastAsia" w:hAnsi="Times New Roman"/>
          <w:iCs/>
          <w:noProof/>
          <w:color w:val="000000" w:themeColor="text1"/>
          <w:sz w:val="24"/>
          <w:szCs w:val="24"/>
        </w:rPr>
      </w:pPr>
      <w:r w:rsidRPr="00BE21DC">
        <w:rPr>
          <w:rFonts w:ascii="Times New Roman" w:hAnsi="Times New Roman"/>
        </w:rPr>
        <w:t xml:space="preserve">           </w:t>
      </w:r>
      <w:r w:rsidR="00BE21DC" w:rsidRPr="00BE21DC">
        <w:rPr>
          <w:rFonts w:ascii="Times New Roman" w:hAnsi="Times New Roman"/>
        </w:rPr>
        <w:t xml:space="preserve">    </w:t>
      </w:r>
      <w:hyperlink w:anchor="_Toc74811548" w:history="1">
        <w:r w:rsidRPr="00BE21DC">
          <w:rPr>
            <w:rFonts w:ascii="Times New Roman" w:hAnsi="Times New Roman"/>
            <w:i/>
            <w:sz w:val="24"/>
            <w:szCs w:val="24"/>
            <w:lang w:val="sq-AL"/>
          </w:rPr>
          <w:t>-Procedime në ndjekje/procedime të përfunduara (Shkalla e mbingarkesës në prokurori)</w:t>
        </w:r>
        <w:r w:rsidR="0000001F" w:rsidRPr="00BE21DC">
          <w:rPr>
            <w:rFonts w:ascii="Times New Roman" w:hAnsi="Times New Roman"/>
            <w:i/>
            <w:sz w:val="24"/>
            <w:szCs w:val="24"/>
            <w:lang w:val="sq-AL"/>
          </w:rPr>
          <w:t>.............................................................................................................................</w:t>
        </w:r>
        <w:r w:rsidRPr="00BE21DC">
          <w:rPr>
            <w:rFonts w:ascii="Times New Roman" w:hAnsi="Times New Roman"/>
            <w:i/>
            <w:sz w:val="24"/>
            <w:szCs w:val="24"/>
            <w:lang w:val="sq-AL"/>
          </w:rPr>
          <w:t xml:space="preserve"> </w:t>
        </w:r>
        <w:r w:rsidRPr="00BE21DC">
          <w:rPr>
            <w:rFonts w:ascii="Times New Roman" w:hAnsi="Times New Roman"/>
            <w:i/>
            <w:sz w:val="24"/>
            <w:szCs w:val="24"/>
            <w:lang w:val="sq-AL"/>
          </w:rPr>
          <w:tab/>
        </w:r>
      </w:hyperlink>
      <w:r w:rsidR="0000001F" w:rsidRPr="00BE21DC">
        <w:rPr>
          <w:rFonts w:ascii="Times New Roman" w:hAnsi="Times New Roman"/>
        </w:rPr>
        <w:t xml:space="preserve">   </w:t>
      </w:r>
      <w:r w:rsidR="0000001F" w:rsidRPr="00BE21DC">
        <w:rPr>
          <w:rFonts w:ascii="Times New Roman" w:hAnsi="Times New Roman"/>
          <w:sz w:val="24"/>
          <w:szCs w:val="24"/>
        </w:rPr>
        <w:t>9</w:t>
      </w:r>
    </w:p>
    <w:p w:rsidR="002051DF" w:rsidRPr="00BE21DC" w:rsidRDefault="005935B4" w:rsidP="002051DF">
      <w:pPr>
        <w:pStyle w:val="TOC3"/>
        <w:tabs>
          <w:tab w:val="left" w:pos="1320"/>
          <w:tab w:val="right" w:leader="dot" w:pos="9016"/>
        </w:tabs>
        <w:rPr>
          <w:rFonts w:ascii="Times New Roman" w:eastAsiaTheme="minorEastAsia" w:hAnsi="Times New Roman" w:cs="Times New Roman"/>
          <w:iCs w:val="0"/>
          <w:noProof/>
          <w:color w:val="000000" w:themeColor="text1"/>
          <w:sz w:val="24"/>
          <w:szCs w:val="24"/>
          <w:lang w:val="en-US"/>
        </w:rPr>
      </w:pPr>
      <w:r w:rsidRPr="00BE21DC">
        <w:rPr>
          <w:rFonts w:ascii="Times New Roman" w:hAnsi="Times New Roman" w:cs="Times New Roman"/>
        </w:rPr>
        <w:t xml:space="preserve">        </w:t>
      </w:r>
      <w:hyperlink w:anchor="_Toc74811548" w:history="1">
        <w:r w:rsidRPr="00BE21DC">
          <w:rPr>
            <w:rFonts w:ascii="Times New Roman" w:hAnsi="Times New Roman" w:cs="Times New Roman"/>
            <w:sz w:val="24"/>
            <w:szCs w:val="24"/>
            <w:lang w:val="sq-AL"/>
          </w:rPr>
          <w:t>-</w:t>
        </w:r>
        <w:r w:rsidRPr="00BE21DC">
          <w:rPr>
            <w:rFonts w:ascii="Times New Roman" w:hAnsi="Times New Roman" w:cs="Times New Roman"/>
            <w:i/>
            <w:sz w:val="24"/>
            <w:szCs w:val="24"/>
            <w:lang w:val="sq-AL"/>
          </w:rPr>
          <w:t>Ngarkesa e prokurorëve</w:t>
        </w:r>
        <w:r w:rsidR="002051DF" w:rsidRPr="00BE21DC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="002051DF" w:rsidRPr="00BE21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00001F" w:rsidRPr="00BE21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</w:t>
      </w:r>
    </w:p>
    <w:p w:rsidR="002051DF" w:rsidRPr="00BE21DC" w:rsidRDefault="005120F4" w:rsidP="002051DF">
      <w:pPr>
        <w:pStyle w:val="TOC2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hyperlink w:anchor="_Toc74811549" w:history="1">
        <w:r w:rsidR="005935B4" w:rsidRPr="00BE21DC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2</w:t>
        </w:r>
        <w:r w:rsidR="002051DF" w:rsidRPr="00BE21DC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="002051DF" w:rsidRPr="00BE21D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val="en-US"/>
          </w:rPr>
          <w:tab/>
        </w:r>
        <w:r w:rsidR="005935B4" w:rsidRPr="00BE21DC">
          <w:rPr>
            <w:rFonts w:ascii="Times New Roman" w:hAnsi="Times New Roman" w:cs="Times New Roman"/>
            <w:color w:val="auto"/>
            <w:sz w:val="24"/>
            <w:szCs w:val="24"/>
          </w:rPr>
          <w:t>Veprimtaria e prokurorive të apelit me juridiksion të përgjithshëm</w:t>
        </w:r>
        <w:r w:rsidR="002051DF" w:rsidRPr="00BE21DC">
          <w:rPr>
            <w:rFonts w:ascii="Times New Roman" w:hAnsi="Times New Roman" w:cs="Times New Roman"/>
            <w:webHidden/>
            <w:color w:val="000000" w:themeColor="text1"/>
            <w:sz w:val="24"/>
            <w:szCs w:val="24"/>
          </w:rPr>
          <w:tab/>
        </w:r>
      </w:hyperlink>
      <w:r w:rsidR="002051DF"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4437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2051DF" w:rsidRPr="00BE21DC" w:rsidRDefault="005120F4" w:rsidP="002051DF">
      <w:pPr>
        <w:pStyle w:val="TOC3"/>
        <w:tabs>
          <w:tab w:val="left" w:pos="1320"/>
          <w:tab w:val="right" w:leader="dot" w:pos="9016"/>
        </w:tabs>
        <w:rPr>
          <w:rFonts w:ascii="Times New Roman" w:eastAsiaTheme="minorEastAsia" w:hAnsi="Times New Roman" w:cs="Times New Roman"/>
          <w:iCs w:val="0"/>
          <w:noProof/>
          <w:color w:val="000000" w:themeColor="text1"/>
          <w:sz w:val="24"/>
          <w:szCs w:val="24"/>
          <w:lang w:val="en-US"/>
        </w:rPr>
      </w:pPr>
      <w:hyperlink w:anchor="_Toc74811550" w:history="1">
        <w:r w:rsidR="005935B4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 xml:space="preserve">    i)</w:t>
        </w:r>
        <w:r w:rsidR="00052A8E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 xml:space="preserve">    </w:t>
        </w:r>
        <w:r w:rsidR="00052A8E" w:rsidRPr="00BE21DC">
          <w:rPr>
            <w:rFonts w:ascii="Times New Roman" w:hAnsi="Times New Roman" w:cs="Times New Roman"/>
            <w:i/>
            <w:lang w:val="sq-AL"/>
          </w:rPr>
          <w:t>Performanca e prokurorive pranë gjykatave të apeleve</w:t>
        </w:r>
        <w:r w:rsidR="002051DF" w:rsidRPr="00BE21DC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="002051DF" w:rsidRPr="00BE21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E4437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</w:t>
      </w:r>
    </w:p>
    <w:p w:rsidR="002051DF" w:rsidRPr="00BE21DC" w:rsidRDefault="005120F4" w:rsidP="00052A8E">
      <w:pPr>
        <w:pStyle w:val="Default"/>
        <w:spacing w:line="276" w:lineRule="auto"/>
        <w:ind w:left="-6" w:firstLine="366"/>
        <w:jc w:val="both"/>
        <w:rPr>
          <w:rFonts w:ascii="Times New Roman" w:eastAsiaTheme="minorEastAsia" w:hAnsi="Times New Roman" w:cs="Times New Roman"/>
          <w:iCs/>
          <w:noProof/>
          <w:color w:val="000000" w:themeColor="text1"/>
        </w:rPr>
      </w:pPr>
      <w:hyperlink w:anchor="_Toc74811551" w:history="1">
        <w:r w:rsidR="00052A8E" w:rsidRPr="00BE21DC">
          <w:rPr>
            <w:rStyle w:val="Hyperlink"/>
            <w:rFonts w:ascii="Times New Roman" w:hAnsi="Times New Roman"/>
            <w:noProof/>
            <w:color w:val="000000" w:themeColor="text1"/>
          </w:rPr>
          <w:t xml:space="preserve">        - </w:t>
        </w:r>
        <w:r w:rsidR="00052A8E" w:rsidRPr="00BE21DC">
          <w:rPr>
            <w:rFonts w:ascii="Times New Roman" w:hAnsi="Times New Roman" w:cs="Times New Roman"/>
            <w:i/>
            <w:lang w:val="sq-AL"/>
          </w:rPr>
          <w:t>Procedime të regjistruara/procedime të përfunduara (Niveli i efikasitetit)</w:t>
        </w:r>
        <w:r w:rsidR="00E44372">
          <w:rPr>
            <w:rFonts w:ascii="Times New Roman" w:hAnsi="Times New Roman" w:cs="Times New Roman"/>
            <w:i/>
            <w:lang w:val="sq-AL"/>
          </w:rPr>
          <w:t>..</w:t>
        </w:r>
        <w:r w:rsidR="00052A8E" w:rsidRPr="00BE21DC">
          <w:rPr>
            <w:rFonts w:ascii="Times New Roman" w:hAnsi="Times New Roman" w:cs="Times New Roman"/>
            <w:i/>
            <w:lang w:val="sq-AL"/>
          </w:rPr>
          <w:t xml:space="preserve">  </w:t>
        </w:r>
      </w:hyperlink>
      <w:r w:rsidR="00052A8E" w:rsidRPr="00BE21DC">
        <w:rPr>
          <w:rFonts w:ascii="Times New Roman" w:hAnsi="Times New Roman" w:cs="Times New Roman"/>
        </w:rPr>
        <w:t xml:space="preserve">        1</w:t>
      </w:r>
      <w:r w:rsidR="00E44372">
        <w:rPr>
          <w:rFonts w:ascii="Times New Roman" w:hAnsi="Times New Roman" w:cs="Times New Roman"/>
        </w:rPr>
        <w:t>4</w:t>
      </w:r>
    </w:p>
    <w:p w:rsidR="002051DF" w:rsidRPr="00BE21DC" w:rsidRDefault="00052A8E" w:rsidP="00052A8E">
      <w:pPr>
        <w:pStyle w:val="NoSpacing"/>
        <w:spacing w:line="276" w:lineRule="auto"/>
        <w:ind w:firstLine="360"/>
        <w:jc w:val="both"/>
        <w:rPr>
          <w:rFonts w:ascii="Times New Roman" w:eastAsiaTheme="minorEastAsia" w:hAnsi="Times New Roman"/>
          <w:iCs/>
          <w:noProof/>
          <w:color w:val="000000" w:themeColor="text1"/>
          <w:sz w:val="24"/>
          <w:szCs w:val="24"/>
        </w:rPr>
      </w:pPr>
      <w:r w:rsidRPr="00BE21DC">
        <w:rPr>
          <w:rFonts w:ascii="Times New Roman" w:hAnsi="Times New Roman"/>
        </w:rPr>
        <w:t xml:space="preserve">         </w:t>
      </w:r>
      <w:hyperlink w:anchor="_Toc74811552" w:history="1">
        <w:r w:rsidRPr="00BE21DC">
          <w:rPr>
            <w:rFonts w:ascii="Times New Roman" w:hAnsi="Times New Roman"/>
            <w:i/>
            <w:sz w:val="24"/>
            <w:szCs w:val="24"/>
            <w:lang w:val="sq-AL"/>
          </w:rPr>
          <w:t>- Ngarkesa e prokurorëve të apeleve</w:t>
        </w:r>
        <w:r w:rsidRPr="00BE21DC">
          <w:rPr>
            <w:rFonts w:ascii="Times New Roman" w:hAnsi="Times New Roman"/>
            <w:b/>
            <w:i/>
            <w:sz w:val="24"/>
            <w:szCs w:val="24"/>
            <w:lang w:val="sq-AL"/>
          </w:rPr>
          <w:t>..................................................................</w:t>
        </w:r>
        <w:r w:rsidR="000B11E3" w:rsidRPr="00BE21DC">
          <w:rPr>
            <w:rFonts w:ascii="Times New Roman" w:hAnsi="Times New Roman"/>
            <w:b/>
            <w:i/>
            <w:sz w:val="24"/>
            <w:szCs w:val="24"/>
            <w:lang w:val="sq-AL"/>
          </w:rPr>
          <w:t>..</w:t>
        </w:r>
        <w:r w:rsidR="00E44372">
          <w:rPr>
            <w:rFonts w:ascii="Times New Roman" w:hAnsi="Times New Roman"/>
            <w:b/>
            <w:i/>
            <w:sz w:val="24"/>
            <w:szCs w:val="24"/>
            <w:lang w:val="sq-AL"/>
          </w:rPr>
          <w:t>....</w:t>
        </w:r>
        <w:r w:rsidR="000B11E3" w:rsidRPr="00BE21DC">
          <w:rPr>
            <w:rFonts w:ascii="Times New Roman" w:hAnsi="Times New Roman"/>
            <w:b/>
            <w:i/>
            <w:sz w:val="24"/>
            <w:szCs w:val="24"/>
            <w:lang w:val="sq-AL"/>
          </w:rPr>
          <w:t xml:space="preserve"> </w:t>
        </w:r>
      </w:hyperlink>
      <w:r w:rsidR="002051DF" w:rsidRPr="00BE21DC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="00E44372">
        <w:rPr>
          <w:rFonts w:ascii="Times New Roman" w:hAnsi="Times New Roman"/>
          <w:noProof/>
          <w:color w:val="000000" w:themeColor="text1"/>
          <w:sz w:val="24"/>
          <w:szCs w:val="24"/>
        </w:rPr>
        <w:t>5</w:t>
      </w:r>
    </w:p>
    <w:p w:rsidR="002051DF" w:rsidRPr="00BE21DC" w:rsidRDefault="005120F4" w:rsidP="002051DF">
      <w:pPr>
        <w:pStyle w:val="TOC3"/>
        <w:tabs>
          <w:tab w:val="left" w:pos="1320"/>
          <w:tab w:val="right" w:leader="dot" w:pos="9016"/>
        </w:tabs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74811552" w:history="1">
        <w:r w:rsidR="002051DF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3.</w:t>
        </w:r>
        <w:r w:rsidR="002051DF" w:rsidRPr="00BE21DC">
          <w:rPr>
            <w:rFonts w:ascii="Times New Roman" w:eastAsiaTheme="minorEastAsia" w:hAnsi="Times New Roman" w:cs="Times New Roman"/>
            <w:iCs w:val="0"/>
            <w:noProof/>
            <w:color w:val="000000" w:themeColor="text1"/>
            <w:sz w:val="24"/>
            <w:szCs w:val="24"/>
            <w:lang w:val="en-US"/>
          </w:rPr>
          <w:tab/>
        </w:r>
        <w:r w:rsidR="00052A8E" w:rsidRPr="00BE21DC">
          <w:rPr>
            <w:rFonts w:ascii="Times New Roman" w:eastAsiaTheme="minorEastAsia" w:hAnsi="Times New Roman" w:cs="Times New Roman"/>
            <w:iCs w:val="0"/>
            <w:noProof/>
            <w:color w:val="000000" w:themeColor="text1"/>
            <w:sz w:val="24"/>
            <w:szCs w:val="24"/>
            <w:lang w:val="en-US"/>
          </w:rPr>
          <w:t>Veprimtaria e Prokuroris</w:t>
        </w:r>
        <w:r w:rsidR="000B11E3" w:rsidRPr="00BE21DC">
          <w:rPr>
            <w:rFonts w:ascii="Times New Roman" w:eastAsiaTheme="minorEastAsia" w:hAnsi="Times New Roman" w:cs="Times New Roman"/>
            <w:iCs w:val="0"/>
            <w:noProof/>
            <w:color w:val="000000" w:themeColor="text1"/>
            <w:sz w:val="24"/>
            <w:szCs w:val="24"/>
            <w:lang w:val="en-US"/>
          </w:rPr>
          <w:t>ë</w:t>
        </w:r>
        <w:r w:rsidR="00052A8E" w:rsidRPr="00BE21DC">
          <w:rPr>
            <w:rFonts w:ascii="Times New Roman" w:eastAsiaTheme="minorEastAsia" w:hAnsi="Times New Roman" w:cs="Times New Roman"/>
            <w:iCs w:val="0"/>
            <w:noProof/>
            <w:color w:val="000000" w:themeColor="text1"/>
            <w:sz w:val="24"/>
            <w:szCs w:val="24"/>
            <w:lang w:val="en-US"/>
          </w:rPr>
          <w:t xml:space="preserve"> s</w:t>
        </w:r>
        <w:r w:rsidR="000B11E3" w:rsidRPr="00BE21DC">
          <w:rPr>
            <w:rFonts w:ascii="Times New Roman" w:eastAsiaTheme="minorEastAsia" w:hAnsi="Times New Roman" w:cs="Times New Roman"/>
            <w:iCs w:val="0"/>
            <w:noProof/>
            <w:color w:val="000000" w:themeColor="text1"/>
            <w:sz w:val="24"/>
            <w:szCs w:val="24"/>
            <w:lang w:val="en-US"/>
          </w:rPr>
          <w:t>ë</w:t>
        </w:r>
        <w:r w:rsidR="00052A8E" w:rsidRPr="00BE21DC">
          <w:rPr>
            <w:rFonts w:ascii="Times New Roman" w:eastAsiaTheme="minorEastAsia" w:hAnsi="Times New Roman" w:cs="Times New Roman"/>
            <w:iCs w:val="0"/>
            <w:noProof/>
            <w:color w:val="000000" w:themeColor="text1"/>
            <w:sz w:val="24"/>
            <w:szCs w:val="24"/>
            <w:lang w:val="en-US"/>
          </w:rPr>
          <w:t xml:space="preserve"> P</w:t>
        </w:r>
        <w:r w:rsidR="000B11E3" w:rsidRPr="00BE21DC">
          <w:rPr>
            <w:rFonts w:ascii="Times New Roman" w:eastAsiaTheme="minorEastAsia" w:hAnsi="Times New Roman" w:cs="Times New Roman"/>
            <w:iCs w:val="0"/>
            <w:noProof/>
            <w:color w:val="000000" w:themeColor="text1"/>
            <w:sz w:val="24"/>
            <w:szCs w:val="24"/>
            <w:lang w:val="en-US"/>
          </w:rPr>
          <w:t>ë</w:t>
        </w:r>
        <w:r w:rsidR="00052A8E" w:rsidRPr="00BE21DC">
          <w:rPr>
            <w:rFonts w:ascii="Times New Roman" w:eastAsiaTheme="minorEastAsia" w:hAnsi="Times New Roman" w:cs="Times New Roman"/>
            <w:iCs w:val="0"/>
            <w:noProof/>
            <w:color w:val="000000" w:themeColor="text1"/>
            <w:sz w:val="24"/>
            <w:szCs w:val="24"/>
            <w:lang w:val="en-US"/>
          </w:rPr>
          <w:t>rgjithshme</w:t>
        </w:r>
        <w:r w:rsidR="002051DF" w:rsidRPr="00BE21DC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="002051DF" w:rsidRPr="00BE21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E4437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7</w:t>
      </w:r>
      <w:r w:rsidR="002051DF" w:rsidRPr="00BE21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</w:t>
      </w:r>
    </w:p>
    <w:p w:rsidR="002051DF" w:rsidRPr="00BE21DC" w:rsidRDefault="005120F4" w:rsidP="002051DF">
      <w:pPr>
        <w:pStyle w:val="TOC3"/>
        <w:tabs>
          <w:tab w:val="left" w:pos="1320"/>
          <w:tab w:val="right" w:leader="dot" w:pos="9016"/>
        </w:tabs>
        <w:rPr>
          <w:rFonts w:ascii="Times New Roman" w:eastAsiaTheme="minorEastAsia" w:hAnsi="Times New Roman" w:cs="Times New Roman"/>
          <w:iCs w:val="0"/>
          <w:noProof/>
          <w:color w:val="000000" w:themeColor="text1"/>
          <w:sz w:val="24"/>
          <w:szCs w:val="24"/>
          <w:lang w:val="en-US"/>
        </w:rPr>
      </w:pPr>
      <w:hyperlink w:anchor="_Toc74811552" w:history="1">
        <w:r w:rsidR="002051DF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4.</w:t>
        </w:r>
        <w:r w:rsidR="002051DF" w:rsidRPr="00BE21DC">
          <w:rPr>
            <w:rFonts w:ascii="Times New Roman" w:eastAsiaTheme="minorEastAsia" w:hAnsi="Times New Roman" w:cs="Times New Roman"/>
            <w:iCs w:val="0"/>
            <w:noProof/>
            <w:color w:val="000000" w:themeColor="text1"/>
            <w:sz w:val="24"/>
            <w:szCs w:val="24"/>
            <w:lang w:val="en-US"/>
          </w:rPr>
          <w:tab/>
        </w:r>
        <w:r w:rsidR="000B11E3" w:rsidRPr="00BE21DC">
          <w:rPr>
            <w:rFonts w:ascii="Times New Roman" w:hAnsi="Times New Roman" w:cs="Times New Roman"/>
            <w:noProof/>
            <w:sz w:val="24"/>
            <w:szCs w:val="24"/>
            <w:lang w:val="sq-AL"/>
          </w:rPr>
          <w:t>Monitorimi, gjendja, problematikat dhe mbështetja që kërkohet</w:t>
        </w:r>
        <w:r w:rsidR="002051DF" w:rsidRPr="00BE21DC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="0000001F" w:rsidRPr="00BE21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19</w:t>
      </w:r>
    </w:p>
    <w:p w:rsidR="002051DF" w:rsidRPr="00BE21DC" w:rsidRDefault="005120F4" w:rsidP="002051DF">
      <w:pPr>
        <w:pStyle w:val="TOC1"/>
        <w:rPr>
          <w:rFonts w:ascii="Times New Roman" w:eastAsiaTheme="minorEastAsia" w:hAnsi="Times New Roman" w:cs="Times New Roman"/>
          <w:b w:val="0"/>
          <w:bCs w:val="0"/>
          <w:smallCaps w:val="0"/>
          <w:noProof/>
          <w:color w:val="000000" w:themeColor="text1"/>
          <w:sz w:val="24"/>
          <w:szCs w:val="24"/>
          <w:lang w:val="en-US"/>
        </w:rPr>
      </w:pPr>
      <w:hyperlink w:anchor="_Toc74811560" w:history="1">
        <w:r w:rsidR="00080319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I</w:t>
        </w:r>
        <w:r w:rsidR="00867020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II</w:t>
        </w:r>
        <w:r w:rsidR="00080319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.</w:t>
        </w:r>
        <w:r w:rsidR="002051DF" w:rsidRPr="00BE21DC">
          <w:rPr>
            <w:rFonts w:ascii="Times New Roman" w:eastAsiaTheme="minorEastAsia" w:hAnsi="Times New Roman" w:cs="Times New Roman"/>
            <w:b w:val="0"/>
            <w:bCs w:val="0"/>
            <w:smallCaps w:val="0"/>
            <w:noProof/>
            <w:color w:val="000000" w:themeColor="text1"/>
            <w:sz w:val="24"/>
            <w:szCs w:val="24"/>
            <w:lang w:val="en-US"/>
          </w:rPr>
          <w:tab/>
        </w:r>
        <w:r w:rsidR="00080319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Bask</w:t>
        </w:r>
        <w:r w:rsidR="000B11E3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ë</w:t>
        </w:r>
        <w:r w:rsidR="00080319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punimi dhe mb</w:t>
        </w:r>
        <w:r w:rsidR="000B11E3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ë</w:t>
        </w:r>
        <w:r w:rsidR="00080319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shtetja</w:t>
        </w:r>
        <w:r w:rsidR="002051DF" w:rsidRPr="00BE21DC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="002051DF" w:rsidRPr="00BE21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</w:t>
      </w:r>
      <w:r w:rsidR="00E4437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</w:t>
      </w:r>
    </w:p>
    <w:p w:rsidR="002051DF" w:rsidRPr="00BE21DC" w:rsidRDefault="005120F4" w:rsidP="002051DF">
      <w:pPr>
        <w:pStyle w:val="TOC3"/>
        <w:tabs>
          <w:tab w:val="left" w:pos="1320"/>
          <w:tab w:val="right" w:leader="dot" w:pos="9016"/>
        </w:tabs>
        <w:rPr>
          <w:rFonts w:ascii="Times New Roman" w:eastAsiaTheme="minorEastAsia" w:hAnsi="Times New Roman" w:cs="Times New Roman"/>
          <w:iCs w:val="0"/>
          <w:noProof/>
          <w:color w:val="000000" w:themeColor="text1"/>
          <w:sz w:val="24"/>
          <w:szCs w:val="24"/>
          <w:lang w:val="en-US"/>
        </w:rPr>
      </w:pPr>
      <w:hyperlink w:anchor="_Toc74811548" w:history="1">
        <w:r w:rsidR="002051DF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1</w:t>
        </w:r>
        <w:r w:rsidR="000B11E3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>.</w:t>
        </w:r>
        <w:r w:rsidR="002051DF" w:rsidRPr="00BE21DC">
          <w:rPr>
            <w:rStyle w:val="Hyperlink"/>
            <w:rFonts w:ascii="Times New Roman" w:hAnsi="Times New Roman"/>
            <w:noProof/>
            <w:color w:val="000000" w:themeColor="text1"/>
            <w:sz w:val="24"/>
            <w:szCs w:val="24"/>
          </w:rPr>
          <w:t xml:space="preserve">  </w:t>
        </w:r>
        <w:r w:rsidR="000B11E3" w:rsidRPr="00BE21DC">
          <w:rPr>
            <w:rFonts w:ascii="Times New Roman" w:hAnsi="Times New Roman" w:cs="Times New Roman"/>
            <w:sz w:val="24"/>
            <w:szCs w:val="24"/>
          </w:rPr>
          <w:t>Bashkëpunimi me SPAK</w:t>
        </w:r>
        <w:r w:rsidR="002051DF" w:rsidRPr="00BE21DC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</w:hyperlink>
      <w:r w:rsidR="002051DF" w:rsidRPr="00BE21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</w:t>
      </w:r>
      <w:r w:rsidR="00E4437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</w:p>
    <w:p w:rsidR="002051DF" w:rsidRPr="00BE21DC" w:rsidRDefault="002051DF" w:rsidP="002051DF">
      <w:pPr>
        <w:pStyle w:val="TOC2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B11E3"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B11E3" w:rsidRPr="00BE21DC">
        <w:rPr>
          <w:rFonts w:ascii="Times New Roman" w:hAnsi="Times New Roman" w:cs="Times New Roman"/>
          <w:color w:val="auto"/>
          <w:sz w:val="24"/>
          <w:szCs w:val="24"/>
        </w:rPr>
        <w:t>Bashkëpunimi me Inspektoratin e Lartë të Drejtësisë</w:t>
      </w:r>
      <w:r w:rsidRPr="00BE21DC">
        <w:rPr>
          <w:rFonts w:ascii="Times New Roman" w:hAnsi="Times New Roman" w:cs="Times New Roman"/>
          <w:color w:val="auto"/>
          <w:sz w:val="24"/>
          <w:szCs w:val="24"/>
        </w:rPr>
        <w:t>..</w:t>
      </w:r>
      <w:r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 w:rsidR="000B11E3"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  <w:r w:rsidR="00E443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11E3"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..........2</w:t>
      </w:r>
      <w:r w:rsidR="00E4437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2051DF" w:rsidRPr="00BE21DC" w:rsidRDefault="002051DF" w:rsidP="002051DF">
      <w:pPr>
        <w:pStyle w:val="TOC2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B11E3"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B11E3" w:rsidRPr="00BE21DC">
        <w:rPr>
          <w:rFonts w:ascii="Times New Roman" w:hAnsi="Times New Roman" w:cs="Times New Roman"/>
          <w:color w:val="auto"/>
          <w:sz w:val="24"/>
          <w:szCs w:val="24"/>
        </w:rPr>
        <w:t>Bashkëpunimi me institucionet ligjzbatuese</w:t>
      </w:r>
      <w:r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</w:t>
      </w:r>
      <w:r w:rsidR="000B11E3"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</w:t>
      </w:r>
      <w:r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00001F"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 w:rsidR="00E443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001F" w:rsidRPr="00BE21DC">
        <w:rPr>
          <w:rFonts w:ascii="Times New Roman" w:hAnsi="Times New Roman" w:cs="Times New Roman"/>
          <w:color w:val="000000" w:themeColor="text1"/>
          <w:sz w:val="24"/>
          <w:szCs w:val="24"/>
        </w:rPr>
        <w:t>.......2</w:t>
      </w:r>
      <w:r w:rsidR="00E4437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2051DF" w:rsidRPr="00BE21DC" w:rsidRDefault="002051DF" w:rsidP="002051DF">
      <w:pPr>
        <w:pStyle w:val="TOC1"/>
        <w:rPr>
          <w:rFonts w:ascii="Times New Roman" w:eastAsiaTheme="minorEastAsia" w:hAnsi="Times New Roman" w:cs="Times New Roman"/>
          <w:b w:val="0"/>
          <w:bCs w:val="0"/>
          <w:smallCaps w:val="0"/>
          <w:noProof/>
          <w:color w:val="000000" w:themeColor="text1"/>
          <w:sz w:val="24"/>
          <w:szCs w:val="24"/>
          <w:lang w:val="en-US"/>
        </w:rPr>
      </w:pPr>
    </w:p>
    <w:p w:rsidR="0000001F" w:rsidRPr="00BE21DC" w:rsidRDefault="0000001F" w:rsidP="002051DF">
      <w:pPr>
        <w:pStyle w:val="TOC1"/>
        <w:rPr>
          <w:rFonts w:ascii="Times New Roman" w:hAnsi="Times New Roman" w:cs="Times New Roman"/>
        </w:rPr>
      </w:pPr>
    </w:p>
    <w:p w:rsidR="0000001F" w:rsidRPr="00BE21DC" w:rsidRDefault="0000001F" w:rsidP="002051DF">
      <w:pPr>
        <w:pStyle w:val="TOC1"/>
        <w:rPr>
          <w:rFonts w:ascii="Times New Roman" w:hAnsi="Times New Roman" w:cs="Times New Roman"/>
        </w:rPr>
      </w:pPr>
    </w:p>
    <w:p w:rsidR="0000001F" w:rsidRPr="00BE21DC" w:rsidRDefault="0000001F" w:rsidP="002051DF">
      <w:pPr>
        <w:pStyle w:val="TOC1"/>
        <w:rPr>
          <w:rFonts w:ascii="Times New Roman" w:hAnsi="Times New Roman" w:cs="Times New Roman"/>
        </w:rPr>
      </w:pPr>
    </w:p>
    <w:p w:rsidR="002051DF" w:rsidRPr="00BE21DC" w:rsidRDefault="005120F4" w:rsidP="002051DF">
      <w:pPr>
        <w:pStyle w:val="TOC1"/>
        <w:rPr>
          <w:rFonts w:ascii="Times New Roman" w:eastAsiaTheme="minorEastAsia" w:hAnsi="Times New Roman" w:cs="Times New Roman"/>
          <w:b w:val="0"/>
          <w:bCs w:val="0"/>
          <w:smallCaps w:val="0"/>
          <w:noProof/>
          <w:color w:val="000000" w:themeColor="text1"/>
          <w:sz w:val="24"/>
          <w:szCs w:val="24"/>
          <w:lang w:val="en-US"/>
        </w:rPr>
      </w:pPr>
      <w:hyperlink w:anchor="_Toc74811568" w:history="1"/>
    </w:p>
    <w:p w:rsidR="00444828" w:rsidRPr="00BE21DC" w:rsidRDefault="002051DF" w:rsidP="0000001F">
      <w:pPr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color w:val="000000" w:themeColor="text1"/>
          <w:sz w:val="24"/>
          <w:szCs w:val="24"/>
          <w:lang w:val="sq-AL"/>
        </w:rPr>
        <w:fldChar w:fldCharType="end"/>
      </w:r>
    </w:p>
    <w:p w:rsidR="0000001F" w:rsidRPr="00BE21DC" w:rsidRDefault="0000001F">
      <w:pPr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br w:type="page"/>
      </w:r>
    </w:p>
    <w:p w:rsidR="00F14430" w:rsidRPr="00BE21DC" w:rsidRDefault="00F14430" w:rsidP="00BD3D5F">
      <w:pPr>
        <w:spacing w:after="0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>I nderuar zoti Kryetar,</w:t>
      </w:r>
    </w:p>
    <w:p w:rsidR="00F14430" w:rsidRPr="00BE21DC" w:rsidRDefault="00F14430" w:rsidP="00F14430">
      <w:pPr>
        <w:spacing w:after="0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F14430" w:rsidRPr="00BE21DC" w:rsidRDefault="00F14430" w:rsidP="00BD3D5F">
      <w:pPr>
        <w:spacing w:after="0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>Të nderuar zonja e zotërinj anëtarë,</w:t>
      </w:r>
    </w:p>
    <w:p w:rsidR="00F14430" w:rsidRPr="00BE21DC" w:rsidRDefault="00F14430" w:rsidP="00F14430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:rsidR="00F14430" w:rsidRPr="00BE21DC" w:rsidRDefault="009148DE" w:rsidP="00BD3D5F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</w:rPr>
        <w:t xml:space="preserve">Viti </w:t>
      </w:r>
      <w:proofErr w:type="spellStart"/>
      <w:r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kaluam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rezultoi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ishte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rish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i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vështirë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shkak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kohëzgjatjes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pandemisë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cila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ndikoi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krijoi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probleme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edhe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funksionimin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sistemit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prokurorisë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por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edhe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shkak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largimeve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nga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detyra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shkak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procesit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rivler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simit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kalimtar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q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krijoi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mjaft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vakanca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system. </w:t>
      </w:r>
      <w:proofErr w:type="spellStart"/>
      <w:r w:rsidRPr="00BE21DC">
        <w:rPr>
          <w:rFonts w:ascii="Times New Roman" w:hAnsi="Times New Roman"/>
          <w:sz w:val="24"/>
          <w:szCs w:val="24"/>
        </w:rPr>
        <w:t>Megjithat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prokurorët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strukturat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administrative e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mbështetëse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pro</w:t>
      </w:r>
      <w:r w:rsidRPr="00BE21DC">
        <w:rPr>
          <w:rFonts w:ascii="Times New Roman" w:hAnsi="Times New Roman"/>
          <w:sz w:val="24"/>
          <w:szCs w:val="24"/>
        </w:rPr>
        <w:t>kurorisë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përballuan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828" w:rsidRPr="00BE21DC">
        <w:rPr>
          <w:rFonts w:ascii="Times New Roman" w:hAnsi="Times New Roman"/>
          <w:sz w:val="24"/>
          <w:szCs w:val="24"/>
        </w:rPr>
        <w:t>këtë</w:t>
      </w:r>
      <w:proofErr w:type="spellEnd"/>
      <w:r w:rsidR="00444828" w:rsidRPr="00BE21DC">
        <w:rPr>
          <w:rFonts w:ascii="Times New Roman" w:hAnsi="Times New Roman"/>
          <w:sz w:val="24"/>
          <w:szCs w:val="24"/>
        </w:rPr>
        <w:t xml:space="preserve"> </w:t>
      </w:r>
      <w:r w:rsidRPr="00BE21DC">
        <w:rPr>
          <w:rFonts w:ascii="Times New Roman" w:hAnsi="Times New Roman"/>
          <w:sz w:val="24"/>
          <w:szCs w:val="24"/>
        </w:rPr>
        <w:t xml:space="preserve">situate.  </w:t>
      </w:r>
      <w:proofErr w:type="spellStart"/>
      <w:r w:rsidRPr="00BE21DC">
        <w:rPr>
          <w:rFonts w:ascii="Times New Roman" w:hAnsi="Times New Roman"/>
          <w:sz w:val="24"/>
          <w:szCs w:val="24"/>
        </w:rPr>
        <w:t>Vler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soj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E21DC">
        <w:rPr>
          <w:rFonts w:ascii="Times New Roman" w:hAnsi="Times New Roman"/>
          <w:sz w:val="24"/>
          <w:szCs w:val="24"/>
        </w:rPr>
        <w:t>jan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arritur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rezultate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një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sërë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objektivash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r w:rsidR="00F14430" w:rsidRPr="00BE21DC">
        <w:rPr>
          <w:rFonts w:ascii="Times New Roman" w:eastAsia="Times New Roman" w:hAnsi="Times New Roman"/>
          <w:noProof/>
          <w:sz w:val="24"/>
          <w:szCs w:val="24"/>
          <w:lang w:val="sq-AL"/>
        </w:rPr>
        <w:t>në fokusin e veprimtarisë së Prokurorisë së Përgjithshme</w:t>
      </w:r>
      <w:r w:rsidR="00AC16CC" w:rsidRPr="00BE21DC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, </w:t>
      </w:r>
      <w:r w:rsidR="00F14430" w:rsidRPr="00BE21DC">
        <w:rPr>
          <w:rFonts w:ascii="Times New Roman" w:eastAsia="Times New Roman" w:hAnsi="Times New Roman"/>
          <w:noProof/>
          <w:sz w:val="24"/>
          <w:szCs w:val="24"/>
          <w:lang w:val="sq-AL"/>
        </w:rPr>
        <w:t>nëpërmjet masave adm</w:t>
      </w:r>
      <w:r w:rsidRPr="00BE21DC">
        <w:rPr>
          <w:rFonts w:ascii="Times New Roman" w:eastAsia="Times New Roman" w:hAnsi="Times New Roman"/>
          <w:noProof/>
          <w:sz w:val="24"/>
          <w:szCs w:val="24"/>
          <w:lang w:val="sq-AL"/>
        </w:rPr>
        <w:t>i</w:t>
      </w:r>
      <w:r w:rsidR="00F14430" w:rsidRPr="00BE21DC">
        <w:rPr>
          <w:rFonts w:ascii="Times New Roman" w:eastAsia="Times New Roman" w:hAnsi="Times New Roman"/>
          <w:noProof/>
          <w:sz w:val="24"/>
          <w:szCs w:val="24"/>
          <w:lang w:val="sq-AL"/>
        </w:rPr>
        <w:t>nistrative dhe procedurale institucionale</w:t>
      </w:r>
      <w:r w:rsidR="00AC16CC" w:rsidRPr="00BE21DC">
        <w:rPr>
          <w:rFonts w:ascii="Times New Roman" w:eastAsia="Times New Roman" w:hAnsi="Times New Roman"/>
          <w:noProof/>
          <w:sz w:val="24"/>
          <w:szCs w:val="24"/>
          <w:lang w:val="sq-AL"/>
        </w:rPr>
        <w:t>,</w:t>
      </w:r>
      <w:r w:rsidR="00FD27E4" w:rsidRPr="00BE21DC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siç jan</w:t>
      </w:r>
      <w:r w:rsidR="002E4A7E" w:rsidRPr="00BE21DC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FD27E4" w:rsidRPr="00BE21DC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="00F14430" w:rsidRPr="00BE21DC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miratimi i udhëzimeve të përgjithshme dhe planeve të veprimit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>për të unifikuar veprimtarinë e prokurorive me juridiksion të përgjithshëm dhe mbikëqyrj</w:t>
      </w:r>
      <w:r w:rsidR="00AC16CC" w:rsidRPr="00BE21DC">
        <w:rPr>
          <w:rFonts w:ascii="Times New Roman" w:hAnsi="Times New Roman"/>
          <w:sz w:val="24"/>
          <w:szCs w:val="24"/>
          <w:lang w:val="sq-AL"/>
        </w:rPr>
        <w:t>a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 e zbatimit tyre, me synim rritjen e </w:t>
      </w:r>
      <w:r w:rsidR="00FD27E4" w:rsidRPr="00BE21DC">
        <w:rPr>
          <w:rFonts w:ascii="Times New Roman" w:hAnsi="Times New Roman"/>
          <w:sz w:val="24"/>
          <w:szCs w:val="24"/>
          <w:lang w:val="sq-AL"/>
        </w:rPr>
        <w:t>efiçens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FD27E4" w:rsidRPr="00BE21DC">
        <w:rPr>
          <w:rFonts w:ascii="Times New Roman" w:hAnsi="Times New Roman"/>
          <w:sz w:val="24"/>
          <w:szCs w:val="24"/>
          <w:lang w:val="sq-AL"/>
        </w:rPr>
        <w:t xml:space="preserve">s dhe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>efektivitetit bazuar në një kuadër normativ të unifikuar</w:t>
      </w:r>
      <w:r w:rsidR="00FD27E4" w:rsidRPr="00BE21DC">
        <w:rPr>
          <w:rFonts w:ascii="Times New Roman" w:hAnsi="Times New Roman"/>
          <w:sz w:val="24"/>
          <w:szCs w:val="24"/>
          <w:lang w:val="sq-AL"/>
        </w:rPr>
        <w:t xml:space="preserve"> dhe t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 konsoliduar në veprimtarinë institucionale, ashtu dhe nëpërmjet </w:t>
      </w:r>
      <w:r w:rsidR="00FD27E4" w:rsidRPr="00BE21DC">
        <w:rPr>
          <w:rFonts w:ascii="Times New Roman" w:hAnsi="Times New Roman"/>
          <w:sz w:val="24"/>
          <w:szCs w:val="24"/>
          <w:lang w:val="sq-AL"/>
        </w:rPr>
        <w:t>miratimit dhe vijimit t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FD27E4" w:rsidRPr="00BE21DC">
        <w:rPr>
          <w:rFonts w:ascii="Times New Roman" w:hAnsi="Times New Roman"/>
          <w:sz w:val="24"/>
          <w:szCs w:val="24"/>
          <w:lang w:val="sq-AL"/>
        </w:rPr>
        <w:t xml:space="preserve"> zbatimit t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FD27E4"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akteve të përbashkëta me disa institucione dhe agjenci ligjzbatuese ndërvepruese për të rritur kapacitetet institucionale e profesionale dhe efiçencën e bashkëpunimit ndërinstitucional,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ku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veçojmë</w:t>
      </w:r>
      <w:proofErr w:type="spellEnd"/>
      <w:r w:rsidR="00F14430" w:rsidRPr="00BE21DC">
        <w:rPr>
          <w:rFonts w:ascii="Times New Roman" w:hAnsi="Times New Roman"/>
          <w:noProof/>
          <w:sz w:val="24"/>
          <w:szCs w:val="24"/>
          <w:lang w:val="sq-AL"/>
        </w:rPr>
        <w:t>:</w:t>
      </w:r>
    </w:p>
    <w:p w:rsidR="00F14430" w:rsidRPr="00BE21DC" w:rsidRDefault="00F14430" w:rsidP="00F14430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  <w:lang w:val="sq-AL"/>
        </w:rPr>
        <w:t>-</w:t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Masat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marra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r w:rsidR="009148DE" w:rsidRPr="00BE21DC">
        <w:rPr>
          <w:rFonts w:ascii="Times New Roman" w:hAnsi="Times New Roman"/>
          <w:sz w:val="24"/>
          <w:szCs w:val="24"/>
          <w:lang w:val="sq-AL"/>
        </w:rPr>
        <w:t>ndjekjen e rekomandimeve t</w:t>
      </w:r>
      <w:r w:rsidR="000B11E3" w:rsidRPr="00BE21DC">
        <w:rPr>
          <w:rFonts w:ascii="Times New Roman" w:hAnsi="Times New Roman"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Rezolutës së Kuvendit të Shqipërisë datë 1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>4</w:t>
      </w:r>
      <w:r w:rsidRPr="00BE21DC">
        <w:rPr>
          <w:rFonts w:ascii="Times New Roman" w:hAnsi="Times New Roman"/>
          <w:sz w:val="24"/>
          <w:szCs w:val="24"/>
          <w:lang w:val="sq-AL"/>
        </w:rPr>
        <w:t>.06.202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sz w:val="24"/>
          <w:szCs w:val="24"/>
          <w:lang w:val="sq-AL"/>
        </w:rPr>
        <w:t>, nëpërmjet, si hartimit</w:t>
      </w:r>
      <w:r w:rsidR="009148DE" w:rsidRPr="00BE21DC">
        <w:rPr>
          <w:rFonts w:ascii="Times New Roman" w:hAnsi="Times New Roman"/>
          <w:sz w:val="24"/>
          <w:szCs w:val="24"/>
          <w:lang w:val="sq-AL"/>
        </w:rPr>
        <w:t xml:space="preserve"> të Planit Veprimit për ndjekjen e kërkesave të kësaj r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ezolute, i miratuar me urdhrin 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>nr.78, datë 09.07.2021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, ashtu dhe mbikëqyrja e zbatimit të tij, me efekte në përmirësimin 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>e mbar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>vajtjes s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>s n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 xml:space="preserve"> administrat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 xml:space="preserve">n e </w:t>
      </w:r>
      <w:r w:rsidRPr="00BE21DC">
        <w:rPr>
          <w:rFonts w:ascii="Times New Roman" w:hAnsi="Times New Roman"/>
          <w:sz w:val="24"/>
          <w:szCs w:val="24"/>
          <w:lang w:val="sq-AL"/>
        </w:rPr>
        <w:t>prokurorive të shkallës së parë dhe të apelit me juridiksion të përgjithshëm,</w:t>
      </w:r>
      <w:r w:rsidRPr="00BE21D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148DE" w:rsidRPr="00BE21DC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="009148DE" w:rsidRPr="00BE21DC">
        <w:rPr>
          <w:rFonts w:ascii="Times New Roman" w:hAnsi="Times New Roman"/>
          <w:sz w:val="24"/>
          <w:szCs w:val="24"/>
        </w:rPr>
        <w:t>qëllim</w:t>
      </w:r>
      <w:proofErr w:type="spellEnd"/>
      <w:r w:rsidR="009148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DE" w:rsidRPr="00BE21DC">
        <w:rPr>
          <w:rFonts w:ascii="Times New Roman" w:hAnsi="Times New Roman"/>
          <w:sz w:val="24"/>
          <w:szCs w:val="24"/>
        </w:rPr>
        <w:t>sigurimin</w:t>
      </w:r>
      <w:proofErr w:type="spellEnd"/>
      <w:r w:rsidR="009148DE" w:rsidRPr="00BE21DC">
        <w:rPr>
          <w:rFonts w:ascii="Times New Roman" w:hAnsi="Times New Roman"/>
          <w:sz w:val="24"/>
          <w:szCs w:val="24"/>
        </w:rPr>
        <w:t xml:space="preserve"> e</w:t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DE" w:rsidRPr="00BE21DC">
        <w:rPr>
          <w:rFonts w:ascii="Times New Roman" w:hAnsi="Times New Roman"/>
          <w:sz w:val="24"/>
          <w:szCs w:val="24"/>
        </w:rPr>
        <w:t>rritjes</w:t>
      </w:r>
      <w:proofErr w:type="spellEnd"/>
      <w:r w:rsidR="009148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DE" w:rsidRPr="00BE21DC">
        <w:rPr>
          <w:rFonts w:ascii="Times New Roman" w:hAnsi="Times New Roman"/>
          <w:sz w:val="24"/>
          <w:szCs w:val="24"/>
        </w:rPr>
        <w:t>s</w:t>
      </w:r>
      <w:r w:rsidR="000B11E3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875693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5693" w:rsidRPr="00BE21DC">
        <w:rPr>
          <w:rFonts w:ascii="Times New Roman" w:hAnsi="Times New Roman"/>
          <w:sz w:val="24"/>
          <w:szCs w:val="24"/>
        </w:rPr>
        <w:t>p</w:t>
      </w:r>
      <w:r w:rsidR="009148DE" w:rsidRPr="00BE21DC">
        <w:rPr>
          <w:rFonts w:ascii="Times New Roman" w:hAnsi="Times New Roman"/>
          <w:sz w:val="24"/>
          <w:szCs w:val="24"/>
        </w:rPr>
        <w:t>e</w:t>
      </w:r>
      <w:r w:rsidR="00875693" w:rsidRPr="00BE21DC">
        <w:rPr>
          <w:rFonts w:ascii="Times New Roman" w:hAnsi="Times New Roman"/>
          <w:sz w:val="24"/>
          <w:szCs w:val="24"/>
        </w:rPr>
        <w:t>rformanc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875693" w:rsidRPr="00BE21DC">
        <w:rPr>
          <w:rFonts w:ascii="Times New Roman" w:hAnsi="Times New Roman"/>
          <w:sz w:val="24"/>
          <w:szCs w:val="24"/>
        </w:rPr>
        <w:t>s</w:t>
      </w:r>
      <w:proofErr w:type="spellEnd"/>
      <w:r w:rsidR="00875693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5693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875693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efikasitet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organizimin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drejtimin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5693" w:rsidRPr="00BE21DC">
        <w:rPr>
          <w:rFonts w:ascii="Times New Roman" w:hAnsi="Times New Roman"/>
          <w:sz w:val="24"/>
          <w:szCs w:val="24"/>
        </w:rPr>
        <w:t>mbik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875693" w:rsidRPr="00BE21DC">
        <w:rPr>
          <w:rFonts w:ascii="Times New Roman" w:hAnsi="Times New Roman"/>
          <w:sz w:val="24"/>
          <w:szCs w:val="24"/>
        </w:rPr>
        <w:t>qyrjen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punës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çdo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</w:t>
      </w:r>
      <w:proofErr w:type="spellEnd"/>
      <w:r w:rsidRPr="00BE21DC">
        <w:rPr>
          <w:rFonts w:ascii="Times New Roman" w:hAnsi="Times New Roman"/>
          <w:sz w:val="24"/>
          <w:szCs w:val="24"/>
          <w:lang w:val="sq-AL"/>
        </w:rPr>
        <w:t>, forcimin e kapaciteteve profesionale nëpërmjet trajnimimit të prokurorëve dhe oficerëve të policisë gjyqësore në bashkëpunim me projektin PAMECA V dhe projektin EURALIUS V, si dhe rritjen e eficencës së bashkëpunimit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 xml:space="preserve"> dhe koordinimit</w:t>
      </w:r>
      <w:r w:rsidRPr="00BE21DC">
        <w:rPr>
          <w:rFonts w:ascii="Times New Roman" w:hAnsi="Times New Roman"/>
          <w:sz w:val="24"/>
          <w:szCs w:val="24"/>
          <w:lang w:val="sq-AL"/>
        </w:rPr>
        <w:t>, ndërinstitucional në nivel qëndror e vendor me miratimin</w:t>
      </w:r>
      <w:r w:rsidR="003F1C8B" w:rsidRPr="00BE21DC">
        <w:rPr>
          <w:rFonts w:ascii="Times New Roman" w:hAnsi="Times New Roman"/>
          <w:sz w:val="24"/>
          <w:szCs w:val="24"/>
          <w:lang w:val="sq-AL"/>
        </w:rPr>
        <w:t xml:space="preserve"> dhe zbatimin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15FA6" w:rsidRPr="00BE21DC">
        <w:rPr>
          <w:rFonts w:ascii="Times New Roman" w:hAnsi="Times New Roman"/>
          <w:sz w:val="24"/>
          <w:szCs w:val="24"/>
          <w:lang w:val="sq-AL"/>
        </w:rPr>
        <w:t xml:space="preserve">e 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>urdh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>ri</w:t>
      </w:r>
      <w:r w:rsidR="003F1C8B" w:rsidRPr="00BE21DC">
        <w:rPr>
          <w:rFonts w:ascii="Times New Roman" w:hAnsi="Times New Roman"/>
          <w:sz w:val="24"/>
          <w:szCs w:val="24"/>
          <w:lang w:val="sq-AL"/>
        </w:rPr>
        <w:t>t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>rbashk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 xml:space="preserve">t me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disa 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>institucione t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>rfshira n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F1C8B" w:rsidRPr="00BE21DC">
        <w:rPr>
          <w:rFonts w:ascii="Times New Roman" w:hAnsi="Times New Roman"/>
          <w:sz w:val="24"/>
          <w:szCs w:val="24"/>
          <w:lang w:val="sq-AL"/>
        </w:rPr>
        <w:t xml:space="preserve">memorandumin e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bashkëpunimit, ashtu dhe 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 xml:space="preserve">vijimin e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bashkëpunimit ndërkombëtar me </w:t>
      </w:r>
      <w:r w:rsidR="003F1C8B" w:rsidRPr="00BE21DC">
        <w:rPr>
          <w:rFonts w:ascii="Times New Roman" w:hAnsi="Times New Roman"/>
          <w:sz w:val="24"/>
          <w:szCs w:val="24"/>
          <w:lang w:val="sq-AL"/>
        </w:rPr>
        <w:t xml:space="preserve">fillimin e funksionimit 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>dhe hapjen e zyr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>s t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prokurorit ndërlidhës pranë Eurojust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 xml:space="preserve"> Hag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875693" w:rsidRPr="00BE21DC">
        <w:rPr>
          <w:rFonts w:ascii="Times New Roman" w:hAnsi="Times New Roman"/>
          <w:sz w:val="24"/>
          <w:szCs w:val="24"/>
          <w:lang w:val="sq-AL"/>
        </w:rPr>
        <w:t>.</w:t>
      </w:r>
    </w:p>
    <w:p w:rsidR="00B00E2E" w:rsidRPr="00BE21DC" w:rsidRDefault="00B00E2E" w:rsidP="00B00E2E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 xml:space="preserve">- </w:t>
      </w:r>
      <w:proofErr w:type="spellStart"/>
      <w:r w:rsidRPr="00BE21DC">
        <w:rPr>
          <w:rFonts w:ascii="Times New Roman" w:hAnsi="Times New Roman"/>
          <w:sz w:val="24"/>
          <w:szCs w:val="24"/>
        </w:rPr>
        <w:t>Masat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marra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r w:rsidR="009148DE" w:rsidRPr="00BE21DC">
        <w:rPr>
          <w:rFonts w:ascii="Times New Roman" w:hAnsi="Times New Roman"/>
          <w:sz w:val="24"/>
          <w:szCs w:val="24"/>
          <w:lang w:val="sq-AL"/>
        </w:rPr>
        <w:t>ndjekjen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e rekomandimeve prioritare të Këshillit të Ministrave datë 2.06.2021, nëpërmjet, </w:t>
      </w:r>
      <w:r w:rsidR="003F1C8B" w:rsidRPr="00BE21DC">
        <w:rPr>
          <w:rFonts w:ascii="Times New Roman" w:hAnsi="Times New Roman"/>
          <w:sz w:val="24"/>
          <w:szCs w:val="24"/>
          <w:lang w:val="sq-AL"/>
        </w:rPr>
        <w:t xml:space="preserve">si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miratimit </w:t>
      </w:r>
      <w:r w:rsidR="003F1C8B" w:rsidRPr="00BE21DC">
        <w:rPr>
          <w:rFonts w:ascii="Times New Roman" w:hAnsi="Times New Roman"/>
          <w:sz w:val="24"/>
          <w:szCs w:val="24"/>
          <w:lang w:val="sq-AL"/>
        </w:rPr>
        <w:t xml:space="preserve">dhe zbatimit </w:t>
      </w:r>
      <w:r w:rsidRPr="00BE21DC">
        <w:rPr>
          <w:rFonts w:ascii="Times New Roman" w:hAnsi="Times New Roman"/>
          <w:sz w:val="24"/>
          <w:szCs w:val="24"/>
          <w:lang w:val="sq-AL"/>
        </w:rPr>
        <w:t>të udhëzimit të përgjithshëm nr.4/2021 “Për rekomandimet prioritare të Këshillit të Ministrave në luftën kundër kriminalitetit për vitin 2021 në prokuroritë e juridiksionit të përgjithshëm”, ashtu dhe Planit Veprimit “Për zbatimin e Rekomandimeve të Këshillit të Ministrave në luftën kundër kriminalitetit për vitin 202</w:t>
      </w:r>
      <w:r w:rsidR="00A73D0F" w:rsidRPr="00BE21DC">
        <w:rPr>
          <w:rFonts w:ascii="Times New Roman" w:hAnsi="Times New Roman"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sz w:val="24"/>
          <w:szCs w:val="24"/>
          <w:lang w:val="sq-AL"/>
        </w:rPr>
        <w:t>” i miratuar me urdhërin nr.79/2021, me efekte në</w:t>
      </w:r>
      <w:r w:rsidR="00A73D0F" w:rsidRPr="00BE21DC">
        <w:rPr>
          <w:rFonts w:ascii="Times New Roman" w:hAnsi="Times New Roman"/>
          <w:sz w:val="24"/>
          <w:szCs w:val="24"/>
          <w:lang w:val="sq-AL"/>
        </w:rPr>
        <w:t xml:space="preserve"> orientimin e politikave institucionale për ndjekjen e unifikuar të rekomandimeve prioritare </w:t>
      </w:r>
      <w:r w:rsidR="003F1C8B" w:rsidRPr="00BE21DC">
        <w:rPr>
          <w:rFonts w:ascii="Times New Roman" w:hAnsi="Times New Roman"/>
          <w:sz w:val="24"/>
          <w:szCs w:val="24"/>
          <w:lang w:val="sq-AL"/>
        </w:rPr>
        <w:t>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3F1C8B" w:rsidRPr="00BE21DC">
        <w:rPr>
          <w:rFonts w:ascii="Times New Roman" w:hAnsi="Times New Roman"/>
          <w:sz w:val="24"/>
          <w:szCs w:val="24"/>
          <w:lang w:val="sq-AL"/>
        </w:rPr>
        <w:t xml:space="preserve"> KM </w:t>
      </w:r>
      <w:r w:rsidR="00A73D0F" w:rsidRPr="00BE21DC">
        <w:rPr>
          <w:rFonts w:ascii="Times New Roman" w:hAnsi="Times New Roman"/>
          <w:sz w:val="24"/>
          <w:szCs w:val="24"/>
          <w:lang w:val="sq-AL"/>
        </w:rPr>
        <w:t>nëpërmjet masave administrative dhe procedurale të përcaktuara për drejtuesit e prokurorive t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A73D0F" w:rsidRPr="00BE21DC">
        <w:rPr>
          <w:rFonts w:ascii="Times New Roman" w:hAnsi="Times New Roman"/>
          <w:sz w:val="24"/>
          <w:szCs w:val="24"/>
          <w:lang w:val="sq-AL"/>
        </w:rPr>
        <w:t xml:space="preserve"> juridiksionit të përgjithshëm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73D0F" w:rsidRPr="00BE21DC">
        <w:rPr>
          <w:rFonts w:ascii="Times New Roman" w:hAnsi="Times New Roman"/>
          <w:sz w:val="24"/>
          <w:szCs w:val="24"/>
          <w:lang w:val="sq-AL"/>
        </w:rPr>
        <w:t xml:space="preserve"> dhe n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A73D0F" w:rsidRPr="00BE21DC">
        <w:rPr>
          <w:rFonts w:ascii="Times New Roman" w:hAnsi="Times New Roman"/>
          <w:sz w:val="24"/>
          <w:szCs w:val="24"/>
          <w:lang w:val="sq-AL"/>
        </w:rPr>
        <w:t xml:space="preserve"> drejtim të riorganizimit të brendshëm, koordinimit dhe forcimin e kapaciteteve institucionale dhe profesionale</w:t>
      </w:r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prioritare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rekomanduara</w:t>
      </w:r>
      <w:proofErr w:type="spellEnd"/>
      <w:r w:rsidR="003F1C8B" w:rsidRPr="00BE21DC">
        <w:rPr>
          <w:rFonts w:ascii="Times New Roman" w:hAnsi="Times New Roman"/>
          <w:sz w:val="24"/>
          <w:szCs w:val="24"/>
        </w:rPr>
        <w:t>,</w:t>
      </w:r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mbikëqyrjen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vazhdimësi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ecurisë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tyre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D0F" w:rsidRPr="00BE21DC">
        <w:rPr>
          <w:rFonts w:ascii="Times New Roman" w:hAnsi="Times New Roman"/>
          <w:sz w:val="24"/>
          <w:szCs w:val="24"/>
        </w:rPr>
        <w:t>p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A73D0F" w:rsidRPr="00BE21DC">
        <w:rPr>
          <w:rFonts w:ascii="Times New Roman" w:hAnsi="Times New Roman"/>
          <w:sz w:val="24"/>
          <w:szCs w:val="24"/>
        </w:rPr>
        <w:t>r</w:t>
      </w:r>
      <w:proofErr w:type="spellEnd"/>
      <w:r w:rsidR="00A73D0F" w:rsidRPr="00BE21DC">
        <w:rPr>
          <w:rFonts w:ascii="Times New Roman" w:hAnsi="Times New Roman"/>
          <w:sz w:val="24"/>
          <w:szCs w:val="24"/>
        </w:rPr>
        <w:t xml:space="preserve"> </w:t>
      </w:r>
      <w:r w:rsidRPr="00BE21DC">
        <w:rPr>
          <w:rFonts w:ascii="Times New Roman" w:hAnsi="Times New Roman"/>
          <w:sz w:val="24"/>
          <w:szCs w:val="24"/>
          <w:lang w:val="sq-AL"/>
        </w:rPr>
        <w:t>garantimin e pavarësisë së prokurorëve, forcimin e ligjshmërisë dhe respektimin e të drejtave dhe lirive të njeriut</w:t>
      </w:r>
      <w:r w:rsidR="003F1C8B" w:rsidRPr="00BE21DC">
        <w:rPr>
          <w:rFonts w:ascii="Times New Roman" w:hAnsi="Times New Roman"/>
          <w:sz w:val="24"/>
          <w:szCs w:val="24"/>
          <w:lang w:val="sq-AL"/>
        </w:rPr>
        <w:t>, si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dhe rritj</w:t>
      </w:r>
      <w:r w:rsidR="00A73D0F" w:rsidRPr="00BE21DC">
        <w:rPr>
          <w:rFonts w:ascii="Times New Roman" w:hAnsi="Times New Roman"/>
          <w:sz w:val="24"/>
          <w:szCs w:val="24"/>
          <w:lang w:val="sq-AL"/>
        </w:rPr>
        <w:t>en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e bashkëpunimit e koordinimit ndërinstitucional.</w:t>
      </w:r>
    </w:p>
    <w:p w:rsidR="00A73D0F" w:rsidRPr="00BE21DC" w:rsidRDefault="00A73D0F" w:rsidP="00A73D0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E21DC">
        <w:rPr>
          <w:rFonts w:ascii="Times New Roman" w:hAnsi="Times New Roman"/>
          <w:sz w:val="24"/>
          <w:szCs w:val="24"/>
        </w:rPr>
        <w:t>Masat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marra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drejtim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forcimit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pavarësisë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prokurorëve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mirëfunksionimit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zyrave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</w:t>
      </w:r>
      <w:r w:rsidR="00415FA6" w:rsidRPr="00BE21DC">
        <w:rPr>
          <w:rFonts w:ascii="Times New Roman" w:hAnsi="Times New Roman"/>
          <w:sz w:val="24"/>
          <w:szCs w:val="24"/>
        </w:rPr>
        <w:t>orive</w:t>
      </w:r>
      <w:proofErr w:type="spellEnd"/>
      <w:r w:rsidR="00415FA6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5FA6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415FA6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5FA6" w:rsidRPr="00BE21DC">
        <w:rPr>
          <w:rFonts w:ascii="Times New Roman" w:hAnsi="Times New Roman"/>
          <w:sz w:val="24"/>
          <w:szCs w:val="24"/>
        </w:rPr>
        <w:t>rritjes</w:t>
      </w:r>
      <w:proofErr w:type="spellEnd"/>
      <w:r w:rsidR="00415FA6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5FA6"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="00415FA6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5FA6" w:rsidRPr="00BE21DC">
        <w:rPr>
          <w:rFonts w:ascii="Times New Roman" w:hAnsi="Times New Roman"/>
          <w:sz w:val="24"/>
          <w:szCs w:val="24"/>
        </w:rPr>
        <w:t>eficencës</w:t>
      </w:r>
      <w:proofErr w:type="spellEnd"/>
      <w:r w:rsidR="00415FA6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5FA6" w:rsidRPr="00BE21DC">
        <w:rPr>
          <w:rFonts w:ascii="Times New Roman" w:hAnsi="Times New Roman"/>
          <w:sz w:val="24"/>
          <w:szCs w:val="24"/>
        </w:rPr>
        <w:t>t</w:t>
      </w:r>
      <w:r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punës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çdo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n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p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rmjet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mbik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3F1C8B" w:rsidRPr="00BE21DC">
        <w:rPr>
          <w:rFonts w:ascii="Times New Roman" w:hAnsi="Times New Roman"/>
          <w:sz w:val="24"/>
          <w:szCs w:val="24"/>
        </w:rPr>
        <w:t>qyrjes</w:t>
      </w:r>
      <w:proofErr w:type="spellEnd"/>
      <w:r w:rsidR="003F1C8B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zbatimit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nr.12/2020; </w:t>
      </w:r>
    </w:p>
    <w:p w:rsidR="00A73D0F" w:rsidRPr="00BE21DC" w:rsidRDefault="00A73D0F" w:rsidP="00A73D0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E21DC">
        <w:rPr>
          <w:rFonts w:ascii="Times New Roman" w:hAnsi="Times New Roman"/>
          <w:sz w:val="24"/>
          <w:szCs w:val="24"/>
        </w:rPr>
        <w:t>Masat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marra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drejtim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forcimit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kapaciteteve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institucionale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profesionale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luftën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ndaj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pastrimit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produkteve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veprës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penale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krimit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financiar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goditjes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aseteve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kriminale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BE21DC">
        <w:rPr>
          <w:rFonts w:ascii="Times New Roman" w:hAnsi="Times New Roman"/>
          <w:sz w:val="24"/>
          <w:szCs w:val="24"/>
        </w:rPr>
        <w:t>bashkërenduar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punën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koordinuar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nivel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qendror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e vendor </w:t>
      </w:r>
      <w:r w:rsidRPr="00BE21DC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gjithë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institucionet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ligjzbatuese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përfshira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ashtu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kryerjen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trajnime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përbashkëta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ndërinstitucionale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; </w:t>
      </w:r>
    </w:p>
    <w:p w:rsidR="00A73D0F" w:rsidRPr="00BE21DC" w:rsidRDefault="00A73D0F" w:rsidP="00A73D0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Masat</w:t>
      </w:r>
      <w:proofErr w:type="spellEnd"/>
      <w:r w:rsidR="003F1C8B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marra</w:t>
      </w:r>
      <w:proofErr w:type="spellEnd"/>
      <w:r w:rsidR="003F1C8B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p</w:t>
      </w:r>
      <w:r w:rsidR="00347E20" w:rsidRPr="00BE21DC">
        <w:rPr>
          <w:rFonts w:ascii="Times New Roman" w:hAnsi="Times New Roman"/>
          <w:sz w:val="24"/>
          <w:szCs w:val="24"/>
        </w:rPr>
        <w:t>ë</w:t>
      </w:r>
      <w:r w:rsidR="003F1C8B" w:rsidRPr="00BE21DC">
        <w:rPr>
          <w:rFonts w:ascii="Times New Roman" w:hAnsi="Times New Roman"/>
          <w:sz w:val="24"/>
          <w:szCs w:val="24"/>
        </w:rPr>
        <w:t>r</w:t>
      </w:r>
      <w:proofErr w:type="spellEnd"/>
      <w:r w:rsidR="003F1C8B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mbik</w:t>
      </w:r>
      <w:r w:rsidR="00347E20" w:rsidRPr="00BE21DC">
        <w:rPr>
          <w:rFonts w:ascii="Times New Roman" w:hAnsi="Times New Roman"/>
          <w:sz w:val="24"/>
          <w:szCs w:val="24"/>
        </w:rPr>
        <w:t>ë</w:t>
      </w:r>
      <w:r w:rsidR="003F1C8B" w:rsidRPr="00BE21DC">
        <w:rPr>
          <w:rFonts w:ascii="Times New Roman" w:hAnsi="Times New Roman"/>
          <w:sz w:val="24"/>
          <w:szCs w:val="24"/>
        </w:rPr>
        <w:t>qyrjen</w:t>
      </w:r>
      <w:proofErr w:type="spellEnd"/>
      <w:r w:rsidR="003F1C8B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zbatimit</w:t>
      </w:r>
      <w:proofErr w:type="spellEnd"/>
      <w:r w:rsidR="003F1C8B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t</w:t>
      </w:r>
      <w:r w:rsidR="00347E20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3F1C8B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marrëveshjes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Policinë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Shtetit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mënyrën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trajtimit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një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pjese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materialeve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kallëzuese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Pr="00BE21DC">
        <w:rPr>
          <w:rFonts w:ascii="Times New Roman" w:hAnsi="Times New Roman"/>
          <w:sz w:val="24"/>
          <w:szCs w:val="24"/>
        </w:rPr>
        <w:t>shoqëruar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edhe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përkatës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hyri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fuqi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r w:rsidR="003F1C8B" w:rsidRPr="00BE21DC">
        <w:rPr>
          <w:rFonts w:ascii="Times New Roman" w:hAnsi="Times New Roman"/>
          <w:sz w:val="24"/>
          <w:szCs w:val="24"/>
        </w:rPr>
        <w:t xml:space="preserve">me 1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janar</w:t>
      </w:r>
      <w:proofErr w:type="spellEnd"/>
      <w:r w:rsidR="003F1C8B" w:rsidRPr="00BE21DC">
        <w:rPr>
          <w:rFonts w:ascii="Times New Roman" w:hAnsi="Times New Roman"/>
          <w:sz w:val="24"/>
          <w:szCs w:val="24"/>
        </w:rPr>
        <w:t xml:space="preserve"> 2021</w:t>
      </w:r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p</w:t>
      </w:r>
      <w:r w:rsidR="00347E20" w:rsidRPr="00BE21DC">
        <w:rPr>
          <w:rFonts w:ascii="Times New Roman" w:hAnsi="Times New Roman"/>
          <w:sz w:val="24"/>
          <w:szCs w:val="24"/>
        </w:rPr>
        <w:t>ë</w:t>
      </w:r>
      <w:r w:rsidR="003F1C8B" w:rsidRPr="00BE21DC">
        <w:rPr>
          <w:rFonts w:ascii="Times New Roman" w:hAnsi="Times New Roman"/>
          <w:sz w:val="24"/>
          <w:szCs w:val="24"/>
        </w:rPr>
        <w:t>r</w:t>
      </w:r>
      <w:proofErr w:type="spellEnd"/>
      <w:r w:rsidR="003F1C8B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t</w:t>
      </w:r>
      <w:r w:rsidR="009148DE" w:rsidRPr="00BE21DC">
        <w:rPr>
          <w:rFonts w:ascii="Times New Roman" w:hAnsi="Times New Roman"/>
          <w:sz w:val="24"/>
          <w:szCs w:val="24"/>
        </w:rPr>
        <w:t>’</w:t>
      </w:r>
      <w:r w:rsidRPr="00BE21DC">
        <w:rPr>
          <w:rFonts w:ascii="Times New Roman" w:hAnsi="Times New Roman"/>
          <w:sz w:val="24"/>
          <w:szCs w:val="24"/>
        </w:rPr>
        <w:t>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C8B" w:rsidRPr="00BE21DC">
        <w:rPr>
          <w:rFonts w:ascii="Times New Roman" w:hAnsi="Times New Roman"/>
          <w:sz w:val="24"/>
          <w:szCs w:val="24"/>
        </w:rPr>
        <w:t>dh</w:t>
      </w:r>
      <w:r w:rsidR="00347E20" w:rsidRPr="00BE21DC">
        <w:rPr>
          <w:rFonts w:ascii="Times New Roman" w:hAnsi="Times New Roman"/>
          <w:sz w:val="24"/>
          <w:szCs w:val="24"/>
        </w:rPr>
        <w:t>ë</w:t>
      </w:r>
      <w:r w:rsidR="003F1C8B" w:rsidRPr="00BE21DC">
        <w:rPr>
          <w:rFonts w:ascii="Times New Roman" w:hAnsi="Times New Roman"/>
          <w:sz w:val="24"/>
          <w:szCs w:val="24"/>
        </w:rPr>
        <w:t>n</w:t>
      </w:r>
      <w:r w:rsidR="00347E20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zgjidhje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një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problemi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mbartur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prej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vitesh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lidhur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cilësinë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materialeve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referuese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; </w:t>
      </w:r>
    </w:p>
    <w:p w:rsidR="00344B05" w:rsidRPr="00BE21DC" w:rsidRDefault="00A73D0F" w:rsidP="00344B05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 xml:space="preserve">- Masa e </w:t>
      </w:r>
      <w:proofErr w:type="spellStart"/>
      <w:r w:rsidRPr="00BE21DC">
        <w:rPr>
          <w:rFonts w:ascii="Times New Roman" w:hAnsi="Times New Roman"/>
          <w:sz w:val="24"/>
          <w:szCs w:val="24"/>
        </w:rPr>
        <w:t>marra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synojnë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përmirësimin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punës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drejtim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respektimit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drejtave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viktimave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krimit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veçanërisht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ato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9148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DE" w:rsidRPr="00BE21DC">
        <w:rPr>
          <w:rFonts w:ascii="Times New Roman" w:hAnsi="Times New Roman"/>
          <w:sz w:val="24"/>
          <w:szCs w:val="24"/>
        </w:rPr>
        <w:t>dhunës</w:t>
      </w:r>
      <w:proofErr w:type="spellEnd"/>
      <w:r w:rsidR="009148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DE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9148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DE" w:rsidRPr="00BE21DC">
        <w:rPr>
          <w:rFonts w:ascii="Times New Roman" w:hAnsi="Times New Roman"/>
          <w:sz w:val="24"/>
          <w:szCs w:val="24"/>
        </w:rPr>
        <w:t>familje</w:t>
      </w:r>
      <w:proofErr w:type="spellEnd"/>
      <w:r w:rsidR="009148DE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148DE" w:rsidRPr="00BE21DC">
        <w:rPr>
          <w:rFonts w:ascii="Times New Roman" w:hAnsi="Times New Roman"/>
          <w:sz w:val="24"/>
          <w:szCs w:val="24"/>
        </w:rPr>
        <w:t>grupeve</w:t>
      </w:r>
      <w:proofErr w:type="spellEnd"/>
      <w:r w:rsidR="009148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8DE" w:rsidRPr="00BE21DC">
        <w:rPr>
          <w:rFonts w:ascii="Times New Roman" w:hAnsi="Times New Roman"/>
          <w:sz w:val="24"/>
          <w:szCs w:val="24"/>
        </w:rPr>
        <w:t>vul</w:t>
      </w:r>
      <w:r w:rsidRPr="00BE21DC">
        <w:rPr>
          <w:rFonts w:ascii="Times New Roman" w:hAnsi="Times New Roman"/>
          <w:sz w:val="24"/>
          <w:szCs w:val="24"/>
        </w:rPr>
        <w:t>nerabël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miturve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n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konflikt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ligjin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viktim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ose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d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D917BC" w:rsidRPr="00BE21DC">
        <w:rPr>
          <w:rFonts w:ascii="Times New Roman" w:hAnsi="Times New Roman"/>
          <w:sz w:val="24"/>
          <w:szCs w:val="24"/>
        </w:rPr>
        <w:t>shmitar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n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D917BC" w:rsidRPr="00BE21DC">
        <w:rPr>
          <w:rFonts w:ascii="Times New Roman" w:hAnsi="Times New Roman"/>
          <w:sz w:val="24"/>
          <w:szCs w:val="24"/>
        </w:rPr>
        <w:t>p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D917BC" w:rsidRPr="00BE21DC">
        <w:rPr>
          <w:rFonts w:ascii="Times New Roman" w:hAnsi="Times New Roman"/>
          <w:sz w:val="24"/>
          <w:szCs w:val="24"/>
        </w:rPr>
        <w:t>rmjet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mbik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D917BC" w:rsidRPr="00BE21DC">
        <w:rPr>
          <w:rFonts w:ascii="Times New Roman" w:hAnsi="Times New Roman"/>
          <w:sz w:val="24"/>
          <w:szCs w:val="24"/>
        </w:rPr>
        <w:t>qyrjes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zbatimit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udh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D917BC" w:rsidRPr="00BE21DC">
        <w:rPr>
          <w:rFonts w:ascii="Times New Roman" w:hAnsi="Times New Roman"/>
          <w:sz w:val="24"/>
          <w:szCs w:val="24"/>
        </w:rPr>
        <w:t>zimit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p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D917BC" w:rsidRPr="00BE21DC">
        <w:rPr>
          <w:rFonts w:ascii="Times New Roman" w:hAnsi="Times New Roman"/>
          <w:sz w:val="24"/>
          <w:szCs w:val="24"/>
        </w:rPr>
        <w:t>rgjithsh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D917BC" w:rsidRPr="00BE21DC">
        <w:rPr>
          <w:rFonts w:ascii="Times New Roman" w:hAnsi="Times New Roman"/>
          <w:sz w:val="24"/>
          <w:szCs w:val="24"/>
        </w:rPr>
        <w:t>m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nr.17/2020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78C0" w:rsidRPr="00BE21DC">
        <w:rPr>
          <w:rFonts w:ascii="Times New Roman" w:hAnsi="Times New Roman"/>
          <w:sz w:val="24"/>
          <w:szCs w:val="24"/>
        </w:rPr>
        <w:t>miratimit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78C0"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udhëzimi</w:t>
      </w:r>
      <w:r w:rsidR="00D917BC" w:rsidRPr="00BE21DC">
        <w:rPr>
          <w:rFonts w:ascii="Times New Roman" w:hAnsi="Times New Roman"/>
          <w:sz w:val="24"/>
          <w:szCs w:val="24"/>
        </w:rPr>
        <w:t>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="00415FA6" w:rsidRPr="00BE21DC">
        <w:rPr>
          <w:rFonts w:ascii="Times New Roman" w:hAnsi="Times New Roman"/>
          <w:sz w:val="24"/>
          <w:szCs w:val="24"/>
        </w:rPr>
        <w:t xml:space="preserve"> nr.8</w:t>
      </w:r>
      <w:r w:rsidR="00D917BC" w:rsidRPr="00BE21DC">
        <w:rPr>
          <w:rFonts w:ascii="Times New Roman" w:hAnsi="Times New Roman"/>
          <w:sz w:val="24"/>
          <w:szCs w:val="24"/>
        </w:rPr>
        <w:t>/2021</w:t>
      </w:r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si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organizimin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tryezave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diskutimeve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pjesëmarrjes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trajnime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masa </w:t>
      </w:r>
      <w:proofErr w:type="spellStart"/>
      <w:r w:rsidRPr="00BE21DC">
        <w:rPr>
          <w:rFonts w:ascii="Times New Roman" w:hAnsi="Times New Roman"/>
          <w:sz w:val="24"/>
          <w:szCs w:val="24"/>
        </w:rPr>
        <w:t>këto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vijojnë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jenë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fokusin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tonë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edhe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vitin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202</w:t>
      </w:r>
      <w:r w:rsidR="00D917BC" w:rsidRPr="00BE21DC">
        <w:rPr>
          <w:rFonts w:ascii="Times New Roman" w:hAnsi="Times New Roman"/>
          <w:sz w:val="24"/>
          <w:szCs w:val="24"/>
        </w:rPr>
        <w:t>2</w:t>
      </w:r>
      <w:r w:rsidRPr="00BE21DC">
        <w:rPr>
          <w:rFonts w:ascii="Times New Roman" w:hAnsi="Times New Roman"/>
          <w:sz w:val="24"/>
          <w:szCs w:val="24"/>
        </w:rPr>
        <w:t>.</w:t>
      </w:r>
    </w:p>
    <w:p w:rsidR="00344B05" w:rsidRPr="00BE21DC" w:rsidRDefault="00344B05" w:rsidP="00344B05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678BE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7678B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78BE" w:rsidRPr="00BE21DC">
        <w:rPr>
          <w:rFonts w:ascii="Times New Roman" w:hAnsi="Times New Roman"/>
          <w:sz w:val="24"/>
          <w:szCs w:val="24"/>
        </w:rPr>
        <w:t>kuadrin</w:t>
      </w:r>
      <w:proofErr w:type="spellEnd"/>
      <w:r w:rsidR="007678BE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678BE" w:rsidRPr="00BE21DC">
        <w:rPr>
          <w:rFonts w:ascii="Times New Roman" w:hAnsi="Times New Roman"/>
          <w:sz w:val="24"/>
          <w:szCs w:val="24"/>
        </w:rPr>
        <w:t>mbikëqyrj</w:t>
      </w:r>
      <w:r w:rsidR="00D917BC" w:rsidRPr="00BE21DC">
        <w:rPr>
          <w:rFonts w:ascii="Times New Roman" w:hAnsi="Times New Roman"/>
          <w:sz w:val="24"/>
          <w:szCs w:val="24"/>
        </w:rPr>
        <w:t>es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zbatimit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kërkesave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r</w:t>
      </w:r>
      <w:r w:rsidR="007678BE" w:rsidRPr="00BE21DC">
        <w:rPr>
          <w:rFonts w:ascii="Times New Roman" w:hAnsi="Times New Roman"/>
          <w:sz w:val="24"/>
          <w:szCs w:val="24"/>
        </w:rPr>
        <w:t>ezolutës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s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Kuvendit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rekomandimeve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prioritare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K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D917BC" w:rsidRPr="00BE21DC">
        <w:rPr>
          <w:rFonts w:ascii="Times New Roman" w:hAnsi="Times New Roman"/>
          <w:sz w:val="24"/>
          <w:szCs w:val="24"/>
        </w:rPr>
        <w:t>shillit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Ministrave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17BC" w:rsidRPr="00BE21DC">
        <w:rPr>
          <w:rFonts w:ascii="Times New Roman" w:hAnsi="Times New Roman"/>
          <w:sz w:val="24"/>
          <w:szCs w:val="24"/>
        </w:rPr>
        <w:t>ashtu</w:t>
      </w:r>
      <w:proofErr w:type="spellEnd"/>
      <w:r w:rsidR="00D917BC" w:rsidRPr="00BE21DC">
        <w:rPr>
          <w:rFonts w:ascii="Times New Roman" w:hAnsi="Times New Roman"/>
          <w:sz w:val="24"/>
          <w:szCs w:val="24"/>
        </w:rPr>
        <w:t xml:space="preserve"> </w:t>
      </w:r>
      <w:r w:rsidR="007678BE" w:rsidRPr="00BE21DC">
        <w:rPr>
          <w:rFonts w:ascii="Times New Roman" w:hAnsi="Times New Roman"/>
          <w:sz w:val="24"/>
          <w:szCs w:val="24"/>
        </w:rPr>
        <w:t xml:space="preserve"> 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 xml:space="preserve">dhe të objektivave të synuara në </w:t>
      </w:r>
      <w:r w:rsidR="00D917BC" w:rsidRPr="00BE21DC">
        <w:rPr>
          <w:rFonts w:ascii="Times New Roman" w:hAnsi="Times New Roman"/>
          <w:sz w:val="24"/>
          <w:szCs w:val="24"/>
          <w:lang w:val="sq-AL"/>
        </w:rPr>
        <w:t>udh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D917BC" w:rsidRPr="00BE21DC">
        <w:rPr>
          <w:rFonts w:ascii="Times New Roman" w:hAnsi="Times New Roman"/>
          <w:sz w:val="24"/>
          <w:szCs w:val="24"/>
          <w:lang w:val="sq-AL"/>
        </w:rPr>
        <w:t>zimet e p</w:t>
      </w:r>
      <w:r w:rsidR="002E4A7E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D917BC" w:rsidRPr="00BE21DC">
        <w:rPr>
          <w:rFonts w:ascii="Times New Roman" w:hAnsi="Times New Roman"/>
          <w:sz w:val="24"/>
          <w:szCs w:val="24"/>
          <w:lang w:val="sq-AL"/>
        </w:rPr>
        <w:t xml:space="preserve">rgjithshme dhe 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>Plan</w:t>
      </w:r>
      <w:r w:rsidR="00D917BC" w:rsidRPr="00BE21DC">
        <w:rPr>
          <w:rFonts w:ascii="Times New Roman" w:hAnsi="Times New Roman"/>
          <w:sz w:val="24"/>
          <w:szCs w:val="24"/>
          <w:lang w:val="sq-AL"/>
        </w:rPr>
        <w:t xml:space="preserve">et 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 xml:space="preserve">e Veprimit, </w:t>
      </w:r>
      <w:r w:rsidR="009148DE" w:rsidRPr="00BE21DC">
        <w:rPr>
          <w:rFonts w:ascii="Times New Roman" w:hAnsi="Times New Roman"/>
          <w:sz w:val="24"/>
          <w:szCs w:val="24"/>
          <w:lang w:val="sq-AL"/>
        </w:rPr>
        <w:t>ashtu si e theksova dhe ne hyrje t</w:t>
      </w:r>
      <w:r w:rsidR="000B11E3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9148DE" w:rsidRPr="00BE21DC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0B11E3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9148DE" w:rsidRPr="00BE21DC">
        <w:rPr>
          <w:rFonts w:ascii="Times New Roman" w:hAnsi="Times New Roman"/>
          <w:sz w:val="24"/>
          <w:szCs w:val="24"/>
          <w:lang w:val="sq-AL"/>
        </w:rPr>
        <w:t xml:space="preserve">tij raportimi, 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>jemi të n</w:t>
      </w:r>
      <w:r w:rsidR="009148DE" w:rsidRPr="00BE21DC">
        <w:rPr>
          <w:rFonts w:ascii="Times New Roman" w:hAnsi="Times New Roman"/>
          <w:sz w:val="24"/>
          <w:szCs w:val="24"/>
          <w:lang w:val="sq-AL"/>
        </w:rPr>
        <w:t>dërgjegjshëm se realizimi i tyre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 xml:space="preserve"> është vështirësuar, si për shkak se në të gjithë nivelet e prokurorive të juridiksionit të përgjithshëm ka vijuar krijimi i vakancave të përkohshme dhe të përhershme, si për shkak të rivlerësimit kalimtar të prokurorëve, ashtu dhe për shkak të vijimit të gjendjes së pandemisë Covid 19 </w:t>
      </w:r>
      <w:r w:rsidR="007778C0" w:rsidRPr="00BE21DC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7678BE" w:rsidRPr="00BE21DC">
        <w:rPr>
          <w:rFonts w:ascii="Times New Roman" w:hAnsi="Times New Roman"/>
          <w:sz w:val="24"/>
          <w:szCs w:val="24"/>
          <w:lang w:val="sq-AL"/>
        </w:rPr>
        <w:t>përgjatë vitit 2021.</w:t>
      </w:r>
    </w:p>
    <w:p w:rsidR="00344B05" w:rsidRPr="00BE21DC" w:rsidRDefault="00344B05" w:rsidP="00344B05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14430" w:rsidRPr="00BE21DC" w:rsidRDefault="00F14430" w:rsidP="00344B05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mënyrë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përmbledhur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aspektet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veprimtarisë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vitin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202</w:t>
      </w:r>
      <w:r w:rsidR="00344B05" w:rsidRPr="00BE21DC">
        <w:rPr>
          <w:rFonts w:ascii="Times New Roman" w:hAnsi="Times New Roman"/>
          <w:sz w:val="24"/>
          <w:szCs w:val="24"/>
        </w:rPr>
        <w:t>1</w:t>
      </w:r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pasqyrohen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detaje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sa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poshtë</w:t>
      </w:r>
      <w:proofErr w:type="spellEnd"/>
      <w:r w:rsidRPr="00BE21DC">
        <w:rPr>
          <w:rFonts w:ascii="Times New Roman" w:hAnsi="Times New Roman"/>
          <w:sz w:val="24"/>
          <w:szCs w:val="24"/>
        </w:rPr>
        <w:t>:</w:t>
      </w:r>
    </w:p>
    <w:p w:rsidR="00F14430" w:rsidRPr="00BE21DC" w:rsidRDefault="00F14430" w:rsidP="00F1443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14430" w:rsidRPr="00BE21DC" w:rsidRDefault="00F14430" w:rsidP="00F14430">
      <w:pPr>
        <w:ind w:firstLine="36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BE21DC">
        <w:rPr>
          <w:rFonts w:ascii="Times New Roman" w:hAnsi="Times New Roman"/>
          <w:b/>
          <w:smallCaps/>
          <w:sz w:val="24"/>
          <w:szCs w:val="24"/>
        </w:rPr>
        <w:t xml:space="preserve">I.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Organizimi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i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brendshëm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gjendja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progresi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problematikat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mbështeja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që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kërkohet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.   </w:t>
      </w:r>
    </w:p>
    <w:p w:rsidR="00F14430" w:rsidRPr="00BE21DC" w:rsidRDefault="00415FA6" w:rsidP="00F14430">
      <w:pPr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>Përgjatë vitit 2021, p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>ër shkak të vakancave numri i përgjithshëm faktik i prokurorëve ka qenë 2</w:t>
      </w:r>
      <w:r w:rsidR="007C6B04" w:rsidRPr="00BE21DC">
        <w:rPr>
          <w:rFonts w:ascii="Times New Roman" w:hAnsi="Times New Roman"/>
          <w:sz w:val="24"/>
          <w:szCs w:val="24"/>
          <w:lang w:val="sq-AL"/>
        </w:rPr>
        <w:t>0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5, tregues që evidenton se </w:t>
      </w:r>
      <w:r w:rsidR="007C6B04" w:rsidRPr="00BE21DC">
        <w:rPr>
          <w:rFonts w:ascii="Times New Roman" w:hAnsi="Times New Roman"/>
          <w:sz w:val="24"/>
          <w:szCs w:val="24"/>
          <w:lang w:val="sq-AL"/>
        </w:rPr>
        <w:t xml:space="preserve">116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prokurorë i mungojnë prokurorive me juridiksion të përgjithshëm. Gjendja e numrit faktik të prokurorëve sipas nivelit të prokurorive ka qenë: </w:t>
      </w:r>
      <w:r w:rsidR="007C6B04" w:rsidRPr="00BE21DC">
        <w:rPr>
          <w:rFonts w:ascii="Times New Roman" w:hAnsi="Times New Roman"/>
          <w:sz w:val="24"/>
          <w:szCs w:val="24"/>
          <w:lang w:val="sq-AL"/>
        </w:rPr>
        <w:t xml:space="preserve">177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prokurorë në prokuroritë pranë gjykatave të shkallës së parë, ose </w:t>
      </w:r>
      <w:r w:rsidR="007C6B04" w:rsidRPr="00BE21DC">
        <w:rPr>
          <w:rFonts w:ascii="Times New Roman" w:hAnsi="Times New Roman"/>
          <w:sz w:val="24"/>
          <w:szCs w:val="24"/>
          <w:lang w:val="sq-AL"/>
        </w:rPr>
        <w:t xml:space="preserve">110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prokurorë më pak për shkak të vakancave, </w:t>
      </w:r>
      <w:r w:rsidR="007C6B04" w:rsidRPr="00BE21DC">
        <w:rPr>
          <w:rFonts w:ascii="Times New Roman" w:hAnsi="Times New Roman"/>
          <w:sz w:val="24"/>
          <w:szCs w:val="24"/>
          <w:lang w:val="sq-AL"/>
        </w:rPr>
        <w:t xml:space="preserve">16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prokurorë në prokuroritë pranë gjykatave të apelit ose </w:t>
      </w:r>
      <w:r w:rsidR="007C6B04" w:rsidRPr="00BE21DC">
        <w:rPr>
          <w:rFonts w:ascii="Times New Roman" w:hAnsi="Times New Roman"/>
          <w:sz w:val="24"/>
          <w:szCs w:val="24"/>
          <w:lang w:val="sq-AL"/>
        </w:rPr>
        <w:t xml:space="preserve">10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prokurorë më pak për shkak të vakancave, dhe </w:t>
      </w:r>
      <w:r w:rsidR="007C6B04" w:rsidRPr="00BE21DC">
        <w:rPr>
          <w:rFonts w:ascii="Times New Roman" w:hAnsi="Times New Roman"/>
          <w:sz w:val="24"/>
          <w:szCs w:val="24"/>
          <w:lang w:val="sq-AL"/>
        </w:rPr>
        <w:t xml:space="preserve">9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prokuror në Prokurorinë e Përgjithshme ose </w:t>
      </w:r>
      <w:r w:rsidR="007C6B04" w:rsidRPr="00BE21DC">
        <w:rPr>
          <w:rFonts w:ascii="Times New Roman" w:hAnsi="Times New Roman"/>
          <w:sz w:val="24"/>
          <w:szCs w:val="24"/>
          <w:lang w:val="sq-AL"/>
        </w:rPr>
        <w:t xml:space="preserve">8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>prokuror më pak për shkak të vakancave. Krahasuar vetëm me vitin 2019</w:t>
      </w:r>
      <w:r w:rsidR="00F14430" w:rsidRPr="00BE21DC">
        <w:rPr>
          <w:rStyle w:val="FootnoteReference"/>
          <w:rFonts w:ascii="Times New Roman" w:hAnsi="Times New Roman"/>
          <w:sz w:val="24"/>
          <w:szCs w:val="24"/>
          <w:lang w:val="sq-AL"/>
        </w:rPr>
        <w:footnoteReference w:id="1"/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 shifra në ulje në numrin faktik </w:t>
      </w:r>
      <w:r w:rsidR="005C7FA7" w:rsidRPr="00BE21DC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total është përkatësisht prej </w:t>
      </w:r>
      <w:r w:rsidR="007C6B04" w:rsidRPr="00BE21DC">
        <w:rPr>
          <w:rFonts w:ascii="Times New Roman" w:hAnsi="Times New Roman"/>
          <w:sz w:val="24"/>
          <w:szCs w:val="24"/>
          <w:lang w:val="sq-AL"/>
        </w:rPr>
        <w:t>33</w:t>
      </w:r>
      <w:r w:rsidR="00CD6E8D" w:rsidRPr="00BE21DC">
        <w:rPr>
          <w:rFonts w:ascii="Times New Roman" w:hAnsi="Times New Roman"/>
          <w:sz w:val="24"/>
          <w:szCs w:val="24"/>
          <w:lang w:val="sq-AL"/>
        </w:rPr>
        <w:t xml:space="preserve">,66 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% </w:t>
      </w:r>
      <w:r w:rsidR="00DB5A0D" w:rsidRPr="00BE21DC">
        <w:rPr>
          <w:rFonts w:ascii="Times New Roman" w:hAnsi="Times New Roman"/>
          <w:sz w:val="24"/>
          <w:szCs w:val="24"/>
          <w:lang w:val="sq-AL"/>
        </w:rPr>
        <w:t>e</w:t>
      </w:r>
      <w:r w:rsidR="00F14430" w:rsidRPr="00BE21DC">
        <w:rPr>
          <w:rFonts w:ascii="Times New Roman" w:hAnsi="Times New Roman"/>
          <w:sz w:val="24"/>
          <w:szCs w:val="24"/>
          <w:lang w:val="sq-AL"/>
        </w:rPr>
        <w:t xml:space="preserve"> prokurorëve.</w:t>
      </w:r>
    </w:p>
    <w:p w:rsidR="00F14430" w:rsidRPr="00BE21DC" w:rsidRDefault="00F14430" w:rsidP="00CD6E8D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BE21DC">
        <w:rPr>
          <w:rFonts w:ascii="Times New Roman" w:hAnsi="Times New Roman" w:cs="Times New Roman"/>
        </w:rPr>
        <w:t>Në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kuadrin</w:t>
      </w:r>
      <w:proofErr w:type="spellEnd"/>
      <w:r w:rsidRPr="00BE21DC">
        <w:rPr>
          <w:rFonts w:ascii="Times New Roman" w:hAnsi="Times New Roman" w:cs="Times New Roman"/>
        </w:rPr>
        <w:t xml:space="preserve"> e </w:t>
      </w:r>
      <w:proofErr w:type="spellStart"/>
      <w:r w:rsidRPr="00BE21DC">
        <w:rPr>
          <w:rFonts w:ascii="Times New Roman" w:hAnsi="Times New Roman" w:cs="Times New Roman"/>
        </w:rPr>
        <w:t>përmirësimit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rregullave</w:t>
      </w:r>
      <w:proofErr w:type="spellEnd"/>
      <w:r w:rsidRPr="00BE21DC">
        <w:rPr>
          <w:rFonts w:ascii="Times New Roman" w:hAnsi="Times New Roman" w:cs="Times New Roman"/>
        </w:rPr>
        <w:t xml:space="preserve"> standard </w:t>
      </w:r>
      <w:proofErr w:type="spellStart"/>
      <w:r w:rsidRPr="00BE21DC">
        <w:rPr>
          <w:rFonts w:ascii="Times New Roman" w:hAnsi="Times New Roman" w:cs="Times New Roman"/>
        </w:rPr>
        <w:t>në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organizimin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dhe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funksionimin</w:t>
      </w:r>
      <w:proofErr w:type="spellEnd"/>
      <w:r w:rsidRPr="00BE21DC">
        <w:rPr>
          <w:rFonts w:ascii="Times New Roman" w:hAnsi="Times New Roman" w:cs="Times New Roman"/>
        </w:rPr>
        <w:t xml:space="preserve"> e </w:t>
      </w:r>
      <w:proofErr w:type="spellStart"/>
      <w:r w:rsidRPr="00BE21DC">
        <w:rPr>
          <w:rFonts w:ascii="Times New Roman" w:hAnsi="Times New Roman" w:cs="Times New Roman"/>
        </w:rPr>
        <w:t>prokurorive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pranë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gjykatave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shkallës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së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parë</w:t>
      </w:r>
      <w:proofErr w:type="spellEnd"/>
      <w:r w:rsidRPr="00BE21DC">
        <w:rPr>
          <w:rFonts w:ascii="Times New Roman" w:hAnsi="Times New Roman" w:cs="Times New Roman"/>
        </w:rPr>
        <w:t xml:space="preserve"> me </w:t>
      </w:r>
      <w:proofErr w:type="spellStart"/>
      <w:r w:rsidRPr="00BE21DC">
        <w:rPr>
          <w:rFonts w:ascii="Times New Roman" w:hAnsi="Times New Roman" w:cs="Times New Roman"/>
        </w:rPr>
        <w:t>juridiksion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përgjithshëm</w:t>
      </w:r>
      <w:proofErr w:type="spellEnd"/>
      <w:r w:rsidR="005C7FA7" w:rsidRPr="00BE21DC">
        <w:rPr>
          <w:rFonts w:ascii="Times New Roman" w:hAnsi="Times New Roman" w:cs="Times New Roman"/>
        </w:rPr>
        <w:t>,</w:t>
      </w:r>
      <w:r w:rsidRPr="00BE21DC">
        <w:rPr>
          <w:rFonts w:ascii="Times New Roman" w:hAnsi="Times New Roman" w:cs="Times New Roman"/>
        </w:rPr>
        <w:t xml:space="preserve"> </w:t>
      </w:r>
      <w:r w:rsidR="00CD6E8D" w:rsidRPr="00BE21DC">
        <w:rPr>
          <w:rFonts w:ascii="Times New Roman" w:hAnsi="Times New Roman" w:cs="Times New Roman"/>
        </w:rPr>
        <w:t xml:space="preserve">me </w:t>
      </w:r>
      <w:proofErr w:type="spellStart"/>
      <w:r w:rsidR="00CD6E8D" w:rsidRPr="00BE21DC">
        <w:rPr>
          <w:rFonts w:ascii="Times New Roman" w:hAnsi="Times New Roman" w:cs="Times New Roman"/>
        </w:rPr>
        <w:t>dat</w:t>
      </w:r>
      <w:r w:rsidR="002E4A7E" w:rsidRPr="00BE21DC">
        <w:rPr>
          <w:rFonts w:ascii="Times New Roman" w:hAnsi="Times New Roman" w:cs="Times New Roman"/>
        </w:rPr>
        <w:t>ë</w:t>
      </w:r>
      <w:proofErr w:type="spellEnd"/>
      <w:r w:rsidR="00CD6E8D" w:rsidRPr="00BE21DC">
        <w:rPr>
          <w:rFonts w:ascii="Times New Roman" w:hAnsi="Times New Roman" w:cs="Times New Roman"/>
        </w:rPr>
        <w:t xml:space="preserve"> 1 </w:t>
      </w:r>
      <w:proofErr w:type="spellStart"/>
      <w:r w:rsidR="00CD6E8D" w:rsidRPr="00BE21DC">
        <w:rPr>
          <w:rFonts w:ascii="Times New Roman" w:hAnsi="Times New Roman" w:cs="Times New Roman"/>
        </w:rPr>
        <w:t>janar</w:t>
      </w:r>
      <w:proofErr w:type="spellEnd"/>
      <w:r w:rsidR="00CD6E8D" w:rsidRPr="00BE21DC">
        <w:rPr>
          <w:rFonts w:ascii="Times New Roman" w:hAnsi="Times New Roman" w:cs="Times New Roman"/>
        </w:rPr>
        <w:t xml:space="preserve"> 2021 </w:t>
      </w:r>
      <w:proofErr w:type="spellStart"/>
      <w:r w:rsidR="00CD6E8D" w:rsidRPr="00BE21DC">
        <w:rPr>
          <w:rFonts w:ascii="Times New Roman" w:hAnsi="Times New Roman" w:cs="Times New Roman"/>
        </w:rPr>
        <w:t>hyri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n</w:t>
      </w:r>
      <w:r w:rsidR="002E4A7E" w:rsidRPr="00BE21DC">
        <w:rPr>
          <w:rFonts w:ascii="Times New Roman" w:hAnsi="Times New Roman" w:cs="Times New Roman"/>
        </w:rPr>
        <w:t>ë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fuqi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urdh</w:t>
      </w:r>
      <w:r w:rsidR="002E4A7E" w:rsidRPr="00BE21DC">
        <w:rPr>
          <w:rFonts w:ascii="Times New Roman" w:hAnsi="Times New Roman" w:cs="Times New Roman"/>
        </w:rPr>
        <w:t>ë</w:t>
      </w:r>
      <w:r w:rsidR="00CD6E8D" w:rsidRPr="00BE21DC">
        <w:rPr>
          <w:rFonts w:ascii="Times New Roman" w:hAnsi="Times New Roman" w:cs="Times New Roman"/>
        </w:rPr>
        <w:t>ri</w:t>
      </w:r>
      <w:proofErr w:type="spellEnd"/>
      <w:r w:rsidR="00CD6E8D" w:rsidRPr="00BE21DC">
        <w:rPr>
          <w:rFonts w:ascii="Times New Roman" w:hAnsi="Times New Roman" w:cs="Times New Roman"/>
        </w:rPr>
        <w:t xml:space="preserve"> nr.164/2020 </w:t>
      </w:r>
      <w:proofErr w:type="spellStart"/>
      <w:r w:rsidR="00CD6E8D" w:rsidRPr="00BE21DC">
        <w:rPr>
          <w:rFonts w:ascii="Times New Roman" w:hAnsi="Times New Roman" w:cs="Times New Roman"/>
        </w:rPr>
        <w:t>i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Prokurorit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Përgjithshëm</w:t>
      </w:r>
      <w:proofErr w:type="spellEnd"/>
      <w:r w:rsidRPr="00BE21DC">
        <w:rPr>
          <w:rFonts w:ascii="Times New Roman" w:hAnsi="Times New Roman" w:cs="Times New Roman"/>
        </w:rPr>
        <w:t xml:space="preserve">, </w:t>
      </w:r>
      <w:proofErr w:type="spellStart"/>
      <w:r w:rsidR="00CD6E8D" w:rsidRPr="00BE21DC">
        <w:rPr>
          <w:rFonts w:ascii="Times New Roman" w:hAnsi="Times New Roman" w:cs="Times New Roman"/>
        </w:rPr>
        <w:t>p</w:t>
      </w:r>
      <w:r w:rsidR="002E4A7E" w:rsidRPr="00BE21DC">
        <w:rPr>
          <w:rFonts w:ascii="Times New Roman" w:hAnsi="Times New Roman" w:cs="Times New Roman"/>
        </w:rPr>
        <w:t>ë</w:t>
      </w:r>
      <w:r w:rsidR="00CD6E8D" w:rsidRPr="00BE21DC">
        <w:rPr>
          <w:rFonts w:ascii="Times New Roman" w:hAnsi="Times New Roman" w:cs="Times New Roman"/>
        </w:rPr>
        <w:t>r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r w:rsidR="00CD6E8D" w:rsidRPr="00BE21DC">
        <w:rPr>
          <w:rFonts w:ascii="Times New Roman" w:hAnsi="Times New Roman" w:cs="Times New Roman"/>
          <w:lang w:val="it-IT"/>
        </w:rPr>
        <w:t>m</w:t>
      </w:r>
      <w:r w:rsidR="00CD6E8D" w:rsidRPr="00BE21DC">
        <w:rPr>
          <w:rFonts w:ascii="Times New Roman" w:hAnsi="Times New Roman" w:cs="Times New Roman"/>
          <w:lang w:val="sq-AL"/>
        </w:rPr>
        <w:t xml:space="preserve">iratin e dy regulloreve standard, për organizimin dhe funksionimin e prokurorive pranë </w:t>
      </w:r>
      <w:r w:rsidR="009148DE" w:rsidRPr="00BE21DC">
        <w:rPr>
          <w:rFonts w:ascii="Times New Roman" w:hAnsi="Times New Roman" w:cs="Times New Roman"/>
          <w:lang w:val="sq-AL" w:eastAsia="sq-AL"/>
        </w:rPr>
        <w:t>g</w:t>
      </w:r>
      <w:r w:rsidR="00CD6E8D" w:rsidRPr="00BE21DC">
        <w:rPr>
          <w:rFonts w:ascii="Times New Roman" w:hAnsi="Times New Roman" w:cs="Times New Roman"/>
          <w:lang w:val="sq-AL" w:eastAsia="sq-AL"/>
        </w:rPr>
        <w:t>jykatave të</w:t>
      </w:r>
      <w:r w:rsidR="009148DE" w:rsidRPr="00BE21DC">
        <w:rPr>
          <w:rFonts w:ascii="Times New Roman" w:hAnsi="Times New Roman" w:cs="Times New Roman"/>
          <w:lang w:val="sq-AL" w:eastAsia="sq-AL"/>
        </w:rPr>
        <w:t xml:space="preserve"> shkallës së parë dhe prokurorive pranë gjykatave të a</w:t>
      </w:r>
      <w:r w:rsidR="00CD6E8D" w:rsidRPr="00BE21DC">
        <w:rPr>
          <w:rFonts w:ascii="Times New Roman" w:hAnsi="Times New Roman" w:cs="Times New Roman"/>
          <w:lang w:val="sq-AL" w:eastAsia="sq-AL"/>
        </w:rPr>
        <w:t>pelit me juridiksion të përgjithshëm, mbi baz</w:t>
      </w:r>
      <w:r w:rsidR="002E4A7E" w:rsidRPr="00BE21DC">
        <w:rPr>
          <w:rFonts w:ascii="Times New Roman" w:hAnsi="Times New Roman" w:cs="Times New Roman"/>
          <w:lang w:val="sq-AL" w:eastAsia="sq-AL"/>
        </w:rPr>
        <w:t>ë</w:t>
      </w:r>
      <w:r w:rsidR="00CD6E8D" w:rsidRPr="00BE21DC">
        <w:rPr>
          <w:rFonts w:ascii="Times New Roman" w:hAnsi="Times New Roman" w:cs="Times New Roman"/>
          <w:lang w:val="sq-AL" w:eastAsia="sq-AL"/>
        </w:rPr>
        <w:t>n e t</w:t>
      </w:r>
      <w:r w:rsidR="002E4A7E" w:rsidRPr="00BE21DC">
        <w:rPr>
          <w:rFonts w:ascii="Times New Roman" w:hAnsi="Times New Roman" w:cs="Times New Roman"/>
          <w:lang w:val="sq-AL" w:eastAsia="sq-AL"/>
        </w:rPr>
        <w:t>ë</w:t>
      </w:r>
      <w:r w:rsidR="00CD6E8D" w:rsidRPr="00BE21DC">
        <w:rPr>
          <w:rFonts w:ascii="Times New Roman" w:hAnsi="Times New Roman" w:cs="Times New Roman"/>
          <w:lang w:val="sq-AL" w:eastAsia="sq-AL"/>
        </w:rPr>
        <w:t xml:space="preserve"> cil</w:t>
      </w:r>
      <w:r w:rsidR="002E4A7E" w:rsidRPr="00BE21DC">
        <w:rPr>
          <w:rFonts w:ascii="Times New Roman" w:hAnsi="Times New Roman" w:cs="Times New Roman"/>
          <w:lang w:val="sq-AL" w:eastAsia="sq-AL"/>
        </w:rPr>
        <w:t>ë</w:t>
      </w:r>
      <w:r w:rsidR="00CD6E8D" w:rsidRPr="00BE21DC">
        <w:rPr>
          <w:rFonts w:ascii="Times New Roman" w:hAnsi="Times New Roman" w:cs="Times New Roman"/>
          <w:lang w:val="sq-AL" w:eastAsia="sq-AL"/>
        </w:rPr>
        <w:t>ve drejtuesit e prokurorive sipas nivele kan</w:t>
      </w:r>
      <w:r w:rsidR="002E4A7E" w:rsidRPr="00BE21DC">
        <w:rPr>
          <w:rFonts w:ascii="Times New Roman" w:hAnsi="Times New Roman" w:cs="Times New Roman"/>
          <w:lang w:val="sq-AL" w:eastAsia="sq-AL"/>
        </w:rPr>
        <w:t>ë</w:t>
      </w:r>
      <w:r w:rsidR="00CD6E8D" w:rsidRPr="00BE21DC">
        <w:rPr>
          <w:rFonts w:ascii="Times New Roman" w:hAnsi="Times New Roman" w:cs="Times New Roman"/>
          <w:lang w:val="sq-AL" w:eastAsia="sq-AL"/>
        </w:rPr>
        <w:t xml:space="preserve"> nxjerr rregulloren e brendshme p</w:t>
      </w:r>
      <w:r w:rsidR="002E4A7E" w:rsidRPr="00BE21DC">
        <w:rPr>
          <w:rFonts w:ascii="Times New Roman" w:hAnsi="Times New Roman" w:cs="Times New Roman"/>
          <w:lang w:val="sq-AL" w:eastAsia="sq-AL"/>
        </w:rPr>
        <w:t>ë</w:t>
      </w:r>
      <w:r w:rsidR="00CD6E8D" w:rsidRPr="00BE21DC">
        <w:rPr>
          <w:rFonts w:ascii="Times New Roman" w:hAnsi="Times New Roman" w:cs="Times New Roman"/>
          <w:lang w:val="sq-AL" w:eastAsia="sq-AL"/>
        </w:rPr>
        <w:t>r</w:t>
      </w:r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organizimin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dhe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funksionimin</w:t>
      </w:r>
      <w:proofErr w:type="spellEnd"/>
      <w:r w:rsidR="00CD6E8D" w:rsidRPr="00BE21DC">
        <w:rPr>
          <w:rFonts w:ascii="Times New Roman" w:hAnsi="Times New Roman" w:cs="Times New Roman"/>
        </w:rPr>
        <w:t xml:space="preserve"> e </w:t>
      </w:r>
      <w:proofErr w:type="spellStart"/>
      <w:r w:rsidR="00CD6E8D" w:rsidRPr="00BE21DC">
        <w:rPr>
          <w:rFonts w:ascii="Times New Roman" w:hAnsi="Times New Roman" w:cs="Times New Roman"/>
        </w:rPr>
        <w:t>secilës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strukturë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që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kryen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funksione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procedurale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dhe</w:t>
      </w:r>
      <w:proofErr w:type="spellEnd"/>
      <w:r w:rsidR="00CD6E8D" w:rsidRPr="00BE21DC">
        <w:rPr>
          <w:rFonts w:ascii="Times New Roman" w:hAnsi="Times New Roman" w:cs="Times New Roman"/>
        </w:rPr>
        <w:t xml:space="preserve"> administrative </w:t>
      </w:r>
      <w:proofErr w:type="spellStart"/>
      <w:r w:rsidR="00CD6E8D" w:rsidRPr="00BE21DC">
        <w:rPr>
          <w:rFonts w:ascii="Times New Roman" w:hAnsi="Times New Roman" w:cs="Times New Roman"/>
        </w:rPr>
        <w:t>sipas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strukturës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standarde</w:t>
      </w:r>
      <w:proofErr w:type="spellEnd"/>
      <w:r w:rsidR="00CD6E8D" w:rsidRPr="00BE21DC">
        <w:rPr>
          <w:rStyle w:val="FootnoteReference"/>
          <w:rFonts w:ascii="Times New Roman" w:hAnsi="Times New Roman" w:cs="Times New Roman"/>
        </w:rPr>
        <w:footnoteReference w:id="2"/>
      </w:r>
      <w:r w:rsidR="00CD6E8D" w:rsidRPr="00BE21DC">
        <w:rPr>
          <w:rFonts w:ascii="Times New Roman" w:hAnsi="Times New Roman" w:cs="Times New Roman"/>
        </w:rPr>
        <w:t xml:space="preserve">, me </w:t>
      </w:r>
      <w:proofErr w:type="spellStart"/>
      <w:r w:rsidR="00CD6E8D" w:rsidRPr="00BE21DC">
        <w:rPr>
          <w:rFonts w:ascii="Times New Roman" w:hAnsi="Times New Roman" w:cs="Times New Roman"/>
        </w:rPr>
        <w:t>përshkrimin</w:t>
      </w:r>
      <w:proofErr w:type="spellEnd"/>
      <w:r w:rsidR="00CD6E8D" w:rsidRPr="00BE21DC">
        <w:rPr>
          <w:rFonts w:ascii="Times New Roman" w:hAnsi="Times New Roman" w:cs="Times New Roman"/>
        </w:rPr>
        <w:t xml:space="preserve"> e </w:t>
      </w:r>
      <w:proofErr w:type="spellStart"/>
      <w:r w:rsidR="00CD6E8D" w:rsidRPr="00BE21DC">
        <w:rPr>
          <w:rFonts w:ascii="Times New Roman" w:hAnsi="Times New Roman" w:cs="Times New Roman"/>
        </w:rPr>
        <w:t>detyrave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dhe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përgjegjësive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të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çdo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strukture</w:t>
      </w:r>
      <w:proofErr w:type="spellEnd"/>
      <w:r w:rsidR="00CD6E8D" w:rsidRPr="00BE21DC">
        <w:rPr>
          <w:rFonts w:ascii="Times New Roman" w:hAnsi="Times New Roman" w:cs="Times New Roman"/>
        </w:rPr>
        <w:t xml:space="preserve">, </w:t>
      </w:r>
      <w:proofErr w:type="spellStart"/>
      <w:r w:rsidR="00CD6E8D" w:rsidRPr="00BE21DC">
        <w:rPr>
          <w:rFonts w:ascii="Times New Roman" w:hAnsi="Times New Roman" w:cs="Times New Roman"/>
        </w:rPr>
        <w:t>për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të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siguruar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efikasitet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në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organizimin</w:t>
      </w:r>
      <w:proofErr w:type="spellEnd"/>
      <w:r w:rsidR="00CD6E8D" w:rsidRPr="00BE21DC">
        <w:rPr>
          <w:rFonts w:ascii="Times New Roman" w:hAnsi="Times New Roman" w:cs="Times New Roman"/>
        </w:rPr>
        <w:t xml:space="preserve">, </w:t>
      </w:r>
      <w:proofErr w:type="spellStart"/>
      <w:r w:rsidR="00CD6E8D" w:rsidRPr="00BE21DC">
        <w:rPr>
          <w:rFonts w:ascii="Times New Roman" w:hAnsi="Times New Roman" w:cs="Times New Roman"/>
        </w:rPr>
        <w:t>drejtimin</w:t>
      </w:r>
      <w:proofErr w:type="spellEnd"/>
      <w:r w:rsidR="00CD6E8D" w:rsidRPr="00BE21DC">
        <w:rPr>
          <w:rFonts w:ascii="Times New Roman" w:hAnsi="Times New Roman" w:cs="Times New Roman"/>
        </w:rPr>
        <w:t xml:space="preserve">, </w:t>
      </w:r>
      <w:proofErr w:type="spellStart"/>
      <w:r w:rsidR="00CD6E8D" w:rsidRPr="00BE21DC">
        <w:rPr>
          <w:rFonts w:ascii="Times New Roman" w:hAnsi="Times New Roman" w:cs="Times New Roman"/>
        </w:rPr>
        <w:t>koordinimin</w:t>
      </w:r>
      <w:proofErr w:type="spellEnd"/>
      <w:r w:rsidR="00CD6E8D" w:rsidRPr="00BE21DC">
        <w:rPr>
          <w:rFonts w:ascii="Times New Roman" w:hAnsi="Times New Roman" w:cs="Times New Roman"/>
        </w:rPr>
        <w:t xml:space="preserve">, </w:t>
      </w:r>
      <w:proofErr w:type="spellStart"/>
      <w:r w:rsidR="00CD6E8D" w:rsidRPr="00BE21DC">
        <w:rPr>
          <w:rFonts w:ascii="Times New Roman" w:hAnsi="Times New Roman" w:cs="Times New Roman"/>
        </w:rPr>
        <w:t>dhe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mbikëqyrjen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apo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monitorimin</w:t>
      </w:r>
      <w:proofErr w:type="spellEnd"/>
      <w:r w:rsidR="00CD6E8D" w:rsidRPr="00BE21DC">
        <w:rPr>
          <w:rFonts w:ascii="Times New Roman" w:hAnsi="Times New Roman" w:cs="Times New Roman"/>
        </w:rPr>
        <w:t xml:space="preserve"> e </w:t>
      </w:r>
      <w:proofErr w:type="spellStart"/>
      <w:r w:rsidR="00CD6E8D" w:rsidRPr="00BE21DC">
        <w:rPr>
          <w:rFonts w:ascii="Times New Roman" w:hAnsi="Times New Roman" w:cs="Times New Roman"/>
        </w:rPr>
        <w:t>punës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në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çdo</w:t>
      </w:r>
      <w:proofErr w:type="spellEnd"/>
      <w:r w:rsidR="00CD6E8D" w:rsidRPr="00BE21DC">
        <w:rPr>
          <w:rFonts w:ascii="Times New Roman" w:hAnsi="Times New Roman" w:cs="Times New Roman"/>
        </w:rPr>
        <w:t xml:space="preserve"> </w:t>
      </w:r>
      <w:proofErr w:type="spellStart"/>
      <w:r w:rsidR="00CD6E8D" w:rsidRPr="00BE21DC">
        <w:rPr>
          <w:rFonts w:ascii="Times New Roman" w:hAnsi="Times New Roman" w:cs="Times New Roman"/>
        </w:rPr>
        <w:t>prokurori</w:t>
      </w:r>
      <w:proofErr w:type="spellEnd"/>
      <w:r w:rsidR="00CD6E8D" w:rsidRPr="00BE21DC">
        <w:rPr>
          <w:rFonts w:ascii="Times New Roman" w:hAnsi="Times New Roman" w:cs="Times New Roman"/>
        </w:rPr>
        <w:t xml:space="preserve">. </w:t>
      </w:r>
      <w:r w:rsidRPr="00BE21DC">
        <w:rPr>
          <w:rFonts w:ascii="Times New Roman" w:hAnsi="Times New Roman" w:cs="Times New Roman"/>
          <w:lang w:val="it-IT"/>
        </w:rPr>
        <w:t xml:space="preserve"> </w:t>
      </w:r>
    </w:p>
    <w:p w:rsidR="00F14430" w:rsidRPr="00BE21DC" w:rsidRDefault="00F14430" w:rsidP="00F1443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E4A7E" w:rsidRPr="00BE21DC" w:rsidRDefault="0065288B" w:rsidP="002E4A7E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E21DC">
        <w:rPr>
          <w:rFonts w:ascii="Times New Roman" w:hAnsi="Times New Roman"/>
          <w:sz w:val="24"/>
          <w:szCs w:val="24"/>
        </w:rPr>
        <w:t>Udh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zime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rgjithshme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</w:t>
      </w:r>
      <w:r w:rsidR="00F14430" w:rsidRPr="00BE21DC">
        <w:rPr>
          <w:rFonts w:ascii="Times New Roman" w:hAnsi="Times New Roman"/>
          <w:sz w:val="24"/>
          <w:szCs w:val="24"/>
        </w:rPr>
        <w:t>kte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r w:rsidRPr="00BE21DC">
        <w:rPr>
          <w:rFonts w:ascii="Times New Roman" w:hAnsi="Times New Roman"/>
          <w:sz w:val="24"/>
          <w:szCs w:val="24"/>
        </w:rPr>
        <w:t xml:space="preserve">normative </w:t>
      </w:r>
      <w:r w:rsidR="00F14430" w:rsidRPr="00BE21DC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rëndësi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aspektin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organizativ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funksional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6320" w:rsidRPr="00BE21DC">
        <w:rPr>
          <w:rFonts w:ascii="Times New Roman" w:hAnsi="Times New Roman"/>
          <w:sz w:val="24"/>
          <w:szCs w:val="24"/>
        </w:rPr>
        <w:t>t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17632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6320" w:rsidRPr="00BE21DC">
        <w:rPr>
          <w:rFonts w:ascii="Times New Roman" w:hAnsi="Times New Roman"/>
          <w:sz w:val="24"/>
          <w:szCs w:val="24"/>
        </w:rPr>
        <w:t>miratuara</w:t>
      </w:r>
      <w:proofErr w:type="spellEnd"/>
      <w:r w:rsidR="0017632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6320" w:rsidRPr="00BE21DC">
        <w:rPr>
          <w:rFonts w:ascii="Times New Roman" w:hAnsi="Times New Roman"/>
          <w:sz w:val="24"/>
          <w:szCs w:val="24"/>
        </w:rPr>
        <w:t>n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17632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6320" w:rsidRPr="00BE21DC">
        <w:rPr>
          <w:rFonts w:ascii="Times New Roman" w:hAnsi="Times New Roman"/>
          <w:sz w:val="24"/>
          <w:szCs w:val="24"/>
        </w:rPr>
        <w:t>vitin</w:t>
      </w:r>
      <w:proofErr w:type="spellEnd"/>
      <w:r w:rsidR="00176320" w:rsidRPr="00BE21DC">
        <w:rPr>
          <w:rFonts w:ascii="Times New Roman" w:hAnsi="Times New Roman"/>
          <w:sz w:val="24"/>
          <w:szCs w:val="24"/>
        </w:rPr>
        <w:t xml:space="preserve"> 2021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mund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përmendim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: </w:t>
      </w:r>
      <w:r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u</w:t>
      </w:r>
      <w:r w:rsidR="00F14430" w:rsidRPr="00BE21DC">
        <w:rPr>
          <w:rFonts w:ascii="Times New Roman" w:eastAsia="Times New Roman" w:hAnsi="Times New Roman"/>
          <w:sz w:val="24"/>
          <w:szCs w:val="24"/>
        </w:rPr>
        <w:t>dhëzimi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përgjithshëm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nr.</w:t>
      </w:r>
      <w:r w:rsidRPr="00BE21DC">
        <w:rPr>
          <w:rFonts w:ascii="Times New Roman" w:eastAsia="Times New Roman" w:hAnsi="Times New Roman"/>
          <w:sz w:val="24"/>
          <w:szCs w:val="24"/>
        </w:rPr>
        <w:t>2</w:t>
      </w:r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datë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21DC">
        <w:rPr>
          <w:rFonts w:ascii="Times New Roman" w:eastAsia="Times New Roman" w:hAnsi="Times New Roman"/>
          <w:sz w:val="24"/>
          <w:szCs w:val="24"/>
        </w:rPr>
        <w:t>31</w:t>
      </w:r>
      <w:r w:rsidR="00F14430" w:rsidRPr="00BE21DC">
        <w:rPr>
          <w:rFonts w:ascii="Times New Roman" w:eastAsia="Times New Roman" w:hAnsi="Times New Roman"/>
          <w:sz w:val="24"/>
          <w:szCs w:val="24"/>
        </w:rPr>
        <w:t>.0</w:t>
      </w:r>
      <w:r w:rsidRPr="00BE21DC">
        <w:rPr>
          <w:rFonts w:ascii="Times New Roman" w:eastAsia="Times New Roman" w:hAnsi="Times New Roman"/>
          <w:sz w:val="24"/>
          <w:szCs w:val="24"/>
        </w:rPr>
        <w:t>3</w:t>
      </w:r>
      <w:r w:rsidR="00F14430" w:rsidRPr="00BE21DC">
        <w:rPr>
          <w:rFonts w:ascii="Times New Roman" w:eastAsia="Times New Roman" w:hAnsi="Times New Roman"/>
          <w:sz w:val="24"/>
          <w:szCs w:val="24"/>
        </w:rPr>
        <w:t>.202</w:t>
      </w:r>
      <w:r w:rsidRPr="00BE21DC">
        <w:rPr>
          <w:rFonts w:ascii="Times New Roman" w:eastAsia="Times New Roman" w:hAnsi="Times New Roman"/>
          <w:sz w:val="24"/>
          <w:szCs w:val="24"/>
        </w:rPr>
        <w:t>1</w:t>
      </w:r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21DC">
        <w:rPr>
          <w:rFonts w:ascii="Times New Roman" w:hAnsi="Times New Roman"/>
          <w:sz w:val="24"/>
          <w:szCs w:val="24"/>
        </w:rPr>
        <w:t>“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disa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ndryshime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shtesa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nr.3, </w:t>
      </w:r>
      <w:proofErr w:type="spellStart"/>
      <w:r w:rsidRPr="00BE21DC">
        <w:rPr>
          <w:rFonts w:ascii="Times New Roman" w:hAnsi="Times New Roman"/>
          <w:sz w:val="24"/>
          <w:szCs w:val="24"/>
        </w:rPr>
        <w:t>datë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21.06.2019 “</w:t>
      </w:r>
      <w:proofErr w:type="spellStart"/>
      <w:r w:rsidRPr="00BE21DC">
        <w:rPr>
          <w:rFonts w:ascii="Times New Roman" w:hAnsi="Times New Roman"/>
          <w:sz w:val="24"/>
          <w:szCs w:val="24"/>
        </w:rPr>
        <w:t>Mbi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masat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procedurale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juridiksion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periudhën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BE21DC">
        <w:rPr>
          <w:rFonts w:ascii="Times New Roman" w:hAnsi="Times New Roman"/>
          <w:sz w:val="24"/>
          <w:szCs w:val="24"/>
        </w:rPr>
        <w:t>zgjedhore</w:t>
      </w:r>
      <w:proofErr w:type="spellEnd"/>
      <w:r w:rsidRPr="00BE21DC">
        <w:rPr>
          <w:rFonts w:ascii="Times New Roman" w:hAnsi="Times New Roman"/>
          <w:sz w:val="24"/>
          <w:szCs w:val="24"/>
        </w:rPr>
        <w:t>”</w:t>
      </w:r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; </w:t>
      </w:r>
      <w:r w:rsidRPr="00BE21DC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BE21DC">
        <w:rPr>
          <w:rFonts w:ascii="Times New Roman" w:hAnsi="Times New Roman"/>
          <w:sz w:val="24"/>
          <w:szCs w:val="24"/>
        </w:rPr>
        <w:t>u</w:t>
      </w:r>
      <w:r w:rsidRPr="00BE21DC">
        <w:rPr>
          <w:rFonts w:ascii="Times New Roman" w:eastAsia="Times New Roman" w:hAnsi="Times New Roman"/>
          <w:sz w:val="24"/>
          <w:szCs w:val="24"/>
        </w:rPr>
        <w:t>dhëzimi</w:t>
      </w:r>
      <w:proofErr w:type="spellEnd"/>
      <w:r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eastAsia="Times New Roman" w:hAnsi="Times New Roman"/>
          <w:sz w:val="24"/>
          <w:szCs w:val="24"/>
        </w:rPr>
        <w:t xml:space="preserve"> nr.4, </w:t>
      </w:r>
      <w:proofErr w:type="spellStart"/>
      <w:r w:rsidRPr="00BE21DC">
        <w:rPr>
          <w:rFonts w:ascii="Times New Roman" w:eastAsia="Times New Roman" w:hAnsi="Times New Roman"/>
          <w:sz w:val="24"/>
          <w:szCs w:val="24"/>
        </w:rPr>
        <w:t>datë</w:t>
      </w:r>
      <w:proofErr w:type="spellEnd"/>
      <w:r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21DC">
        <w:rPr>
          <w:rFonts w:ascii="Times New Roman" w:hAnsi="Times New Roman"/>
          <w:sz w:val="24"/>
          <w:szCs w:val="24"/>
        </w:rPr>
        <w:t>09.07.2021 “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rekomandimet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prioritare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Këshillit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Ministrave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luftën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kundër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kriminalitetit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vitin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2021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prokuroritë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juridiksionit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</w:rPr>
        <w:t>”</w:t>
      </w:r>
      <w:r w:rsidRPr="00BE21DC">
        <w:rPr>
          <w:rFonts w:ascii="Times New Roman" w:hAnsi="Times New Roman"/>
          <w:bCs/>
          <w:sz w:val="24"/>
          <w:szCs w:val="24"/>
          <w:lang w:val="en-GB" w:eastAsia="en-GB"/>
        </w:rPr>
        <w:t>; -</w:t>
      </w:r>
      <w:proofErr w:type="spellStart"/>
      <w:r w:rsidRPr="00BE21DC">
        <w:rPr>
          <w:rFonts w:ascii="Times New Roman" w:hAnsi="Times New Roman"/>
          <w:sz w:val="24"/>
          <w:szCs w:val="24"/>
        </w:rPr>
        <w:t>u</w:t>
      </w:r>
      <w:r w:rsidRPr="00BE21DC">
        <w:rPr>
          <w:rFonts w:ascii="Times New Roman" w:eastAsia="Times New Roman" w:hAnsi="Times New Roman"/>
          <w:sz w:val="24"/>
          <w:szCs w:val="24"/>
        </w:rPr>
        <w:t>dhëzimi</w:t>
      </w:r>
      <w:proofErr w:type="spellEnd"/>
      <w:r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eastAsia="Times New Roman" w:hAnsi="Times New Roman"/>
          <w:sz w:val="24"/>
          <w:szCs w:val="24"/>
        </w:rPr>
        <w:t xml:space="preserve"> nr.6, </w:t>
      </w:r>
      <w:proofErr w:type="spellStart"/>
      <w:r w:rsidRPr="00BE21DC">
        <w:rPr>
          <w:rFonts w:ascii="Times New Roman" w:eastAsia="Times New Roman" w:hAnsi="Times New Roman"/>
          <w:sz w:val="24"/>
          <w:szCs w:val="24"/>
        </w:rPr>
        <w:t>datë</w:t>
      </w:r>
      <w:proofErr w:type="spellEnd"/>
      <w:r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21DC">
        <w:rPr>
          <w:rFonts w:ascii="Times New Roman" w:hAnsi="Times New Roman"/>
          <w:sz w:val="24"/>
          <w:szCs w:val="24"/>
        </w:rPr>
        <w:t>23.07.2021 “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disa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ndryshime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shtesa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nr.08, </w:t>
      </w:r>
      <w:proofErr w:type="spellStart"/>
      <w:r w:rsidRPr="00BE21DC">
        <w:rPr>
          <w:rFonts w:ascii="Times New Roman" w:hAnsi="Times New Roman"/>
          <w:sz w:val="24"/>
          <w:szCs w:val="24"/>
        </w:rPr>
        <w:t>datë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19.05.2020 “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shpenzimet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procedurale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penale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juridiksion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  <w:lang w:val="en-GB"/>
        </w:rPr>
        <w:t>”</w:t>
      </w:r>
      <w:r w:rsidRPr="00BE21DC">
        <w:rPr>
          <w:rFonts w:ascii="Times New Roman" w:hAnsi="Times New Roman"/>
          <w:sz w:val="24"/>
          <w:szCs w:val="24"/>
        </w:rPr>
        <w:t xml:space="preserve">”;  </w:t>
      </w:r>
      <w:r w:rsidR="000B4F3C" w:rsidRPr="00BE21DC">
        <w:rPr>
          <w:rFonts w:ascii="Times New Roman" w:hAnsi="Times New Roman"/>
          <w:bCs/>
          <w:sz w:val="24"/>
          <w:szCs w:val="24"/>
          <w:lang w:val="en-GB" w:eastAsia="en-GB"/>
        </w:rPr>
        <w:t>-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u</w:t>
      </w:r>
      <w:r w:rsidR="000B4F3C" w:rsidRPr="00BE21DC">
        <w:rPr>
          <w:rFonts w:ascii="Times New Roman" w:eastAsia="Times New Roman" w:hAnsi="Times New Roman"/>
          <w:sz w:val="24"/>
          <w:szCs w:val="24"/>
        </w:rPr>
        <w:t>dhëzimi</w:t>
      </w:r>
      <w:proofErr w:type="spellEnd"/>
      <w:r w:rsidR="000B4F3C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0B4F3C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eastAsia="Times New Roman" w:hAnsi="Times New Roman"/>
          <w:sz w:val="24"/>
          <w:szCs w:val="24"/>
        </w:rPr>
        <w:t>përgjithshëm</w:t>
      </w:r>
      <w:proofErr w:type="spellEnd"/>
      <w:r w:rsidR="000B4F3C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r w:rsidR="000B4F3C" w:rsidRPr="00BE21DC">
        <w:rPr>
          <w:rFonts w:ascii="Times New Roman" w:hAnsi="Times New Roman"/>
          <w:sz w:val="24"/>
          <w:szCs w:val="24"/>
        </w:rPr>
        <w:t xml:space="preserve">nr.10,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datë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30.12.2021</w:t>
      </w:r>
      <w:r w:rsidR="000B4F3C" w:rsidRPr="00BE21DC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="000B4F3C" w:rsidRPr="00BE21DC">
        <w:rPr>
          <w:rFonts w:ascii="Times New Roman" w:hAnsi="Times New Roman"/>
          <w:sz w:val="24"/>
          <w:szCs w:val="24"/>
        </w:rPr>
        <w:t>“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ushtrimin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funksionit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monitorimit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sistemin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prokurorisë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bashkëpunimi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institucionet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kushtetuese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ligjore</w:t>
      </w:r>
      <w:proofErr w:type="spellEnd"/>
      <w:r w:rsidR="000B4F3C" w:rsidRPr="00BE21DC">
        <w:rPr>
          <w:rFonts w:ascii="Times New Roman" w:hAnsi="Times New Roman"/>
          <w:sz w:val="24"/>
          <w:szCs w:val="24"/>
          <w:lang w:val="en-GB"/>
        </w:rPr>
        <w:t>”</w:t>
      </w:r>
      <w:r w:rsidR="000B4F3C" w:rsidRPr="00BE21DC">
        <w:rPr>
          <w:rFonts w:ascii="Times New Roman" w:hAnsi="Times New Roman"/>
          <w:sz w:val="24"/>
          <w:szCs w:val="24"/>
        </w:rPr>
        <w:t xml:space="preserve">; </w:t>
      </w:r>
      <w:r w:rsidR="00DB5A0D"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urdh</w:t>
      </w:r>
      <w:r w:rsidR="002E4A7E" w:rsidRPr="00BE21DC">
        <w:rPr>
          <w:rFonts w:ascii="Times New Roman" w:hAnsi="Times New Roman"/>
          <w:sz w:val="24"/>
          <w:szCs w:val="24"/>
        </w:rPr>
        <w:t>ë</w:t>
      </w:r>
      <w:r w:rsidR="000B4F3C" w:rsidRPr="00BE21DC">
        <w:rPr>
          <w:rFonts w:ascii="Times New Roman" w:hAnsi="Times New Roman"/>
          <w:sz w:val="24"/>
          <w:szCs w:val="24"/>
        </w:rPr>
        <w:t>ri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nr.92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datë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30.07.2021 “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përdorimin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regjistrit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elektronik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përftimin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statistikave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çështje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pastrimit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parave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prokuroritë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shkallës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parë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juridiksion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3C"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="000B4F3C" w:rsidRPr="00BE21DC">
        <w:rPr>
          <w:rFonts w:ascii="Times New Roman" w:hAnsi="Times New Roman"/>
          <w:sz w:val="24"/>
          <w:szCs w:val="24"/>
        </w:rPr>
        <w:t>”</w:t>
      </w:r>
      <w:r w:rsidRPr="00BE21DC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DB5A0D" w:rsidRPr="00BE21DC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="00DB5A0D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B5A0D" w:rsidRPr="00BE21DC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="00DB5A0D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akte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1A16" w:rsidRPr="00BE21DC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="00701A16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1A16" w:rsidRPr="00BE21DC">
        <w:rPr>
          <w:rFonts w:ascii="Times New Roman" w:eastAsia="Times New Roman" w:hAnsi="Times New Roman"/>
          <w:sz w:val="24"/>
          <w:szCs w:val="24"/>
        </w:rPr>
        <w:t>tjera</w:t>
      </w:r>
      <w:proofErr w:type="spellEnd"/>
      <w:r w:rsidR="00701A16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funksion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garantimit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informacionit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Sekret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Shtetëror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>”</w:t>
      </w:r>
      <w:r w:rsidR="00701A16" w:rsidRPr="00BE21D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01A16" w:rsidRPr="00BE21DC">
        <w:rPr>
          <w:rFonts w:ascii="Times New Roman" w:eastAsia="Times New Roman" w:hAnsi="Times New Roman"/>
          <w:sz w:val="24"/>
          <w:szCs w:val="24"/>
        </w:rPr>
        <w:t>siç</w:t>
      </w:r>
      <w:proofErr w:type="spellEnd"/>
      <w:r w:rsidR="00701A16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1A16" w:rsidRPr="00BE21DC">
        <w:rPr>
          <w:rFonts w:ascii="Times New Roman" w:eastAsia="Times New Roman" w:hAnsi="Times New Roman"/>
          <w:sz w:val="24"/>
          <w:szCs w:val="24"/>
        </w:rPr>
        <w:t>jan</w:t>
      </w:r>
      <w:r w:rsidR="00347E20" w:rsidRPr="00BE21DC">
        <w:rPr>
          <w:rFonts w:ascii="Times New Roman" w:eastAsia="Times New Roman" w:hAnsi="Times New Roman"/>
          <w:sz w:val="24"/>
          <w:szCs w:val="24"/>
        </w:rPr>
        <w:t>ë</w:t>
      </w:r>
      <w:proofErr w:type="spellEnd"/>
      <w:r w:rsidR="00701A16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01A16" w:rsidRPr="00BE21DC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; </w:t>
      </w:r>
      <w:r w:rsidR="002E4A7E" w:rsidRPr="00BE21DC">
        <w:rPr>
          <w:rFonts w:ascii="Times New Roman" w:eastAsia="Times New Roman" w:hAnsi="Times New Roman"/>
          <w:sz w:val="24"/>
          <w:szCs w:val="24"/>
        </w:rPr>
        <w:t>-</w:t>
      </w:r>
      <w:r w:rsidR="002E4A7E" w:rsidRPr="00BE21DC">
        <w:rPr>
          <w:rFonts w:ascii="Times New Roman" w:hAnsi="Times New Roman"/>
          <w:sz w:val="24"/>
          <w:szCs w:val="24"/>
          <w:lang w:val="pt-BR"/>
        </w:rPr>
        <w:t>Urdhri nr.105, datë 30.09.202</w:t>
      </w:r>
      <w:r w:rsidR="00DB5A0D" w:rsidRPr="00BE21DC">
        <w:rPr>
          <w:rFonts w:ascii="Times New Roman" w:hAnsi="Times New Roman"/>
          <w:sz w:val="24"/>
          <w:szCs w:val="24"/>
          <w:lang w:val="pt-BR"/>
        </w:rPr>
        <w:t>1</w:t>
      </w:r>
      <w:r w:rsidR="002E4A7E" w:rsidRPr="00BE21DC">
        <w:rPr>
          <w:rFonts w:ascii="Times New Roman" w:hAnsi="Times New Roman"/>
          <w:sz w:val="24"/>
          <w:szCs w:val="24"/>
          <w:lang w:val="pt-BR"/>
        </w:rPr>
        <w:t xml:space="preserve"> “Për krijimin e Strukturës së Sigurisë në zbatim të </w:t>
      </w:r>
      <w:r w:rsidR="00701A16" w:rsidRPr="00BE21DC">
        <w:rPr>
          <w:rFonts w:ascii="Times New Roman" w:hAnsi="Times New Roman"/>
          <w:sz w:val="24"/>
          <w:szCs w:val="24"/>
          <w:lang w:val="pt-BR"/>
        </w:rPr>
        <w:t>VKM</w:t>
      </w:r>
      <w:r w:rsidR="002E4A7E" w:rsidRPr="00BE21D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E4A7E" w:rsidRPr="00BE21DC">
        <w:rPr>
          <w:rFonts w:ascii="Times New Roman" w:hAnsi="Times New Roman"/>
          <w:noProof/>
          <w:sz w:val="24"/>
          <w:szCs w:val="24"/>
        </w:rPr>
        <w:t>nr. 542, datë 25.7.2019 “Për Sigurimin e Informacionit të Klasifikuar që trajtohet në sistemet e komunikimit dhe të informacionit (SKI)</w:t>
      </w:r>
      <w:r w:rsidR="002E4A7E" w:rsidRPr="00BE21DC">
        <w:rPr>
          <w:rFonts w:ascii="Times New Roman" w:hAnsi="Times New Roman"/>
          <w:sz w:val="24"/>
          <w:szCs w:val="24"/>
          <w:lang w:val="pt-BR"/>
        </w:rPr>
        <w:t xml:space="preserve">” dhe </w:t>
      </w:r>
      <w:r w:rsidR="00DB5A0D" w:rsidRPr="00BE21DC">
        <w:rPr>
          <w:rFonts w:ascii="Times New Roman" w:hAnsi="Times New Roman"/>
          <w:sz w:val="24"/>
          <w:szCs w:val="24"/>
          <w:lang w:val="pt-BR"/>
        </w:rPr>
        <w:t>-</w:t>
      </w:r>
      <w:r w:rsidR="002E4A7E" w:rsidRPr="00BE21DC">
        <w:rPr>
          <w:rFonts w:ascii="Times New Roman" w:hAnsi="Times New Roman"/>
          <w:sz w:val="24"/>
          <w:szCs w:val="24"/>
          <w:lang w:val="it-IT"/>
        </w:rPr>
        <w:t>urdhri nr.111, datë 15. 10.2021 “Për caktimin e Strukturës së Sigurisë”.</w:t>
      </w:r>
    </w:p>
    <w:p w:rsidR="00F14430" w:rsidRPr="00BE21DC" w:rsidRDefault="00F14430" w:rsidP="00F1443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56BDA" w:rsidRPr="00BE21DC" w:rsidRDefault="006900CF" w:rsidP="00E56BDA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kushtet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një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situate </w:t>
      </w:r>
      <w:proofErr w:type="spellStart"/>
      <w:r w:rsidRPr="00BE21DC">
        <w:rPr>
          <w:rFonts w:ascii="Times New Roman" w:hAnsi="Times New Roman"/>
          <w:sz w:val="24"/>
          <w:szCs w:val="24"/>
        </w:rPr>
        <w:t>kritike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vazhduese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mungesës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kapaciteteve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funksionale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juridiksion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krijuar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nga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vakancat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prokurorëve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procesin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vetingut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vijim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punës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nisur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shmangien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efekteve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krijuara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ulja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numrit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prokurorëve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shkak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procesit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rivlerësimit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kalimtar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lehtësuar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rritjen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ngarkesës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mbështetur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veprimtarinë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prokurorëve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numër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reduktuar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sistemin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prokurorisë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, me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shkresën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nr.1434,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datë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24.09.2021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ka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kërkuar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Komisionit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Policisë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Cs/>
          <w:sz w:val="24"/>
          <w:szCs w:val="24"/>
        </w:rPr>
        <w:t>Gjyqësore</w:t>
      </w:r>
      <w:proofErr w:type="spellEnd"/>
      <w:r w:rsidRPr="00BE21DC">
        <w:rPr>
          <w:rFonts w:ascii="Times New Roman" w:hAnsi="Times New Roman"/>
          <w:bCs/>
          <w:sz w:val="24"/>
          <w:szCs w:val="24"/>
        </w:rPr>
        <w:t xml:space="preserve"> </w:t>
      </w:r>
      <w:r w:rsidRPr="00BE21DC">
        <w:rPr>
          <w:rFonts w:ascii="Times New Roman" w:hAnsi="Times New Roman"/>
          <w:sz w:val="24"/>
          <w:szCs w:val="24"/>
          <w:lang w:val="it-IT"/>
        </w:rPr>
        <w:t>rritjen në 250 të numrit organik të oficerëve të policisë gjyqësore në seksionet pranë prokurorive të juridiksionit të përgjithshëm dhe kryerjen e procedurave për emërimin e tyre sipas nevojave në disa prokurori</w:t>
      </w:r>
      <w:r w:rsidR="00E56BDA" w:rsidRPr="00BE21DC">
        <w:rPr>
          <w:rFonts w:ascii="Times New Roman" w:hAnsi="Times New Roman"/>
          <w:sz w:val="24"/>
          <w:szCs w:val="24"/>
          <w:lang w:val="it-IT"/>
        </w:rPr>
        <w:t>. Nd</w:t>
      </w:r>
      <w:r w:rsidR="00347E20" w:rsidRPr="00BE21DC">
        <w:rPr>
          <w:rFonts w:ascii="Times New Roman" w:hAnsi="Times New Roman"/>
          <w:sz w:val="24"/>
          <w:szCs w:val="24"/>
          <w:lang w:val="it-IT"/>
        </w:rPr>
        <w:t>ë</w:t>
      </w:r>
      <w:r w:rsidR="00E56BDA" w:rsidRPr="00BE21DC">
        <w:rPr>
          <w:rFonts w:ascii="Times New Roman" w:hAnsi="Times New Roman"/>
          <w:sz w:val="24"/>
          <w:szCs w:val="24"/>
          <w:lang w:val="it-IT"/>
        </w:rPr>
        <w:t>rkoh</w:t>
      </w:r>
      <w:r w:rsidR="00347E20" w:rsidRPr="00BE21DC">
        <w:rPr>
          <w:rFonts w:ascii="Times New Roman" w:hAnsi="Times New Roman"/>
          <w:sz w:val="24"/>
          <w:szCs w:val="24"/>
          <w:lang w:val="it-IT"/>
        </w:rPr>
        <w:t>ë</w:t>
      </w:r>
      <w:r w:rsidR="00E56BDA" w:rsidRPr="00BE21DC">
        <w:rPr>
          <w:rFonts w:ascii="Times New Roman" w:hAnsi="Times New Roman"/>
          <w:sz w:val="24"/>
          <w:szCs w:val="24"/>
          <w:lang w:val="it-IT"/>
        </w:rPr>
        <w:t xml:space="preserve"> Komisioni </w:t>
      </w:r>
      <w:r w:rsidR="00E56BDA" w:rsidRPr="00BE21DC">
        <w:rPr>
          <w:rFonts w:ascii="Times New Roman" w:hAnsi="Times New Roman"/>
          <w:sz w:val="24"/>
          <w:szCs w:val="24"/>
          <w:lang w:val="sq-AL"/>
        </w:rPr>
        <w:t>ka caktuar numrin e përgjithshëm prej 250 oficerë të Policisë Gjyqësore të Seksioneve të Policisë Gjyqësore në prokuroritë e juridiksionit të përgjithshëm, si dhe pas kryerjes s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E56BDA" w:rsidRPr="00BE21DC">
        <w:rPr>
          <w:rFonts w:ascii="Times New Roman" w:hAnsi="Times New Roman"/>
          <w:sz w:val="24"/>
          <w:szCs w:val="24"/>
          <w:lang w:val="sq-AL"/>
        </w:rPr>
        <w:t xml:space="preserve"> procedurave 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9148DE" w:rsidRPr="00BE21DC">
        <w:rPr>
          <w:rFonts w:ascii="Times New Roman" w:hAnsi="Times New Roman"/>
          <w:sz w:val="24"/>
          <w:szCs w:val="24"/>
          <w:lang w:val="sq-AL"/>
        </w:rPr>
        <w:t xml:space="preserve"> konkurimit</w:t>
      </w:r>
      <w:r w:rsidR="00E56BDA" w:rsidRPr="00BE21D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E56BDA" w:rsidRPr="00BE21DC">
        <w:rPr>
          <w:rFonts w:ascii="Times New Roman" w:hAnsi="Times New Roman"/>
          <w:sz w:val="24"/>
          <w:szCs w:val="24"/>
          <w:lang w:val="sq-AL"/>
        </w:rPr>
        <w:t>sht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E56BDA" w:rsidRPr="00BE21DC">
        <w:rPr>
          <w:rFonts w:ascii="Times New Roman" w:hAnsi="Times New Roman"/>
          <w:sz w:val="24"/>
          <w:szCs w:val="24"/>
          <w:lang w:val="sq-AL"/>
        </w:rPr>
        <w:t xml:space="preserve"> mund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E56BDA" w:rsidRPr="00BE21DC">
        <w:rPr>
          <w:rFonts w:ascii="Times New Roman" w:hAnsi="Times New Roman"/>
          <w:sz w:val="24"/>
          <w:szCs w:val="24"/>
          <w:lang w:val="sq-AL"/>
        </w:rPr>
        <w:t xml:space="preserve">suar </w:t>
      </w:r>
      <w:r w:rsidR="00E56BDA" w:rsidRPr="00BE21DC">
        <w:rPr>
          <w:rFonts w:ascii="Times New Roman" w:hAnsi="Times New Roman"/>
          <w:sz w:val="24"/>
          <w:szCs w:val="24"/>
          <w:lang w:val="it-IT"/>
        </w:rPr>
        <w:t>emërimi i 25 oficer</w:t>
      </w:r>
      <w:r w:rsidR="00E56BDA" w:rsidRPr="00BE21DC">
        <w:rPr>
          <w:rFonts w:ascii="Times New Roman" w:hAnsi="Times New Roman"/>
          <w:sz w:val="24"/>
          <w:szCs w:val="24"/>
        </w:rPr>
        <w:t>ë</w:t>
      </w:r>
      <w:r w:rsidR="00E56BDA" w:rsidRPr="00BE21DC">
        <w:rPr>
          <w:rFonts w:ascii="Times New Roman" w:hAnsi="Times New Roman"/>
          <w:sz w:val="24"/>
          <w:szCs w:val="24"/>
          <w:lang w:val="it-IT"/>
        </w:rPr>
        <w:t xml:space="preserve"> të policisë gjyqësore në seksionet pranë prokurorive të juridiksionit të përgjithshëm, për të lehtësuar dhe mbështetur veprimtarinë e prokurorëve në përballimin e volumit të punës në rritje, n</w:t>
      </w:r>
      <w:r w:rsidR="00347E20" w:rsidRPr="00BE21DC">
        <w:rPr>
          <w:rFonts w:ascii="Times New Roman" w:hAnsi="Times New Roman"/>
          <w:sz w:val="24"/>
          <w:szCs w:val="24"/>
          <w:lang w:val="it-IT"/>
        </w:rPr>
        <w:t>ë</w:t>
      </w:r>
      <w:r w:rsidR="00DB5A0D" w:rsidRPr="00BE21DC">
        <w:rPr>
          <w:rFonts w:ascii="Times New Roman" w:hAnsi="Times New Roman"/>
          <w:sz w:val="24"/>
          <w:szCs w:val="24"/>
          <w:lang w:val="it-IT"/>
        </w:rPr>
        <w:t xml:space="preserve"> ato prokurori të cila</w:t>
      </w:r>
      <w:r w:rsidR="00E56BDA" w:rsidRPr="00BE21DC">
        <w:rPr>
          <w:rFonts w:ascii="Times New Roman" w:hAnsi="Times New Roman"/>
          <w:sz w:val="24"/>
          <w:szCs w:val="24"/>
          <w:lang w:val="it-IT"/>
        </w:rPr>
        <w:t>t aktualisht janë të mbingarkuar</w:t>
      </w:r>
      <w:r w:rsidR="00DB5A0D" w:rsidRPr="00BE21DC">
        <w:rPr>
          <w:rFonts w:ascii="Times New Roman" w:hAnsi="Times New Roman"/>
          <w:sz w:val="24"/>
          <w:szCs w:val="24"/>
          <w:lang w:val="it-IT"/>
        </w:rPr>
        <w:t>a</w:t>
      </w:r>
      <w:r w:rsidR="00E56BDA" w:rsidRPr="00BE21DC">
        <w:rPr>
          <w:rFonts w:ascii="Times New Roman" w:hAnsi="Times New Roman"/>
          <w:sz w:val="24"/>
          <w:szCs w:val="24"/>
          <w:lang w:val="it-IT"/>
        </w:rPr>
        <w:t xml:space="preserve"> me kryerjen e hetimeve, ushtrimin e ndjekjes penale dhe përfaqësimin e çështjeve në gjykim.</w:t>
      </w:r>
    </w:p>
    <w:p w:rsidR="006900CF" w:rsidRPr="00BE21DC" w:rsidRDefault="006900CF" w:rsidP="006900CF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14430" w:rsidRPr="00BE21DC" w:rsidRDefault="00ED449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color w:val="auto"/>
          <w:lang w:val="sq-AL"/>
        </w:rPr>
      </w:pPr>
      <w:proofErr w:type="spellStart"/>
      <w:r w:rsidRPr="00BE21DC">
        <w:rPr>
          <w:rFonts w:ascii="Times New Roman" w:hAnsi="Times New Roman" w:cs="Times New Roman"/>
          <w:color w:val="auto"/>
        </w:rPr>
        <w:t>Gjithashtu</w:t>
      </w:r>
      <w:proofErr w:type="spellEnd"/>
      <w:r w:rsidRPr="00BE21D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BE21DC">
        <w:rPr>
          <w:rFonts w:ascii="Times New Roman" w:hAnsi="Times New Roman" w:cs="Times New Roman"/>
          <w:color w:val="auto"/>
        </w:rPr>
        <w:t>k</w:t>
      </w:r>
      <w:r w:rsidR="002E4A7E" w:rsidRPr="00BE21DC">
        <w:rPr>
          <w:rFonts w:ascii="Times New Roman" w:hAnsi="Times New Roman" w:cs="Times New Roman"/>
          <w:color w:val="auto"/>
        </w:rPr>
        <w:t>rahas</w:t>
      </w:r>
      <w:proofErr w:type="spellEnd"/>
      <w:r w:rsidR="00F14430" w:rsidRPr="00BE21DC">
        <w:rPr>
          <w:rFonts w:ascii="Times New Roman" w:hAnsi="Times New Roman" w:cs="Times New Roman"/>
          <w:color w:val="auto"/>
          <w:lang w:val="sq-AL"/>
        </w:rPr>
        <w:t xml:space="preserve"> plotësimit </w:t>
      </w:r>
      <w:r w:rsidRPr="00BE21DC">
        <w:rPr>
          <w:rFonts w:ascii="Times New Roman" w:hAnsi="Times New Roman" w:cs="Times New Roman"/>
          <w:color w:val="auto"/>
          <w:lang w:val="sq-AL"/>
        </w:rPr>
        <w:t>t</w:t>
      </w:r>
      <w:r w:rsidR="00347E20" w:rsidRPr="00BE21DC">
        <w:rPr>
          <w:rFonts w:ascii="Times New Roman" w:hAnsi="Times New Roman" w:cs="Times New Roman"/>
          <w:color w:val="auto"/>
          <w:lang w:val="sq-AL"/>
        </w:rPr>
        <w:t>ë</w:t>
      </w:r>
      <w:r w:rsidRPr="00BE21DC">
        <w:rPr>
          <w:rFonts w:ascii="Times New Roman" w:hAnsi="Times New Roman" w:cs="Times New Roman"/>
          <w:color w:val="auto"/>
          <w:lang w:val="sq-AL"/>
        </w:rPr>
        <w:t xml:space="preserve"> vakancave </w:t>
      </w:r>
      <w:r w:rsidR="00F14430" w:rsidRPr="00BE21DC">
        <w:rPr>
          <w:rFonts w:ascii="Times New Roman" w:hAnsi="Times New Roman" w:cs="Times New Roman"/>
          <w:color w:val="auto"/>
          <w:lang w:val="sq-AL"/>
        </w:rPr>
        <w:t xml:space="preserve">me prokurorë nga Shkolla e Magjistraturës, </w:t>
      </w:r>
      <w:r w:rsidR="002E4A7E" w:rsidRPr="00BE21DC">
        <w:rPr>
          <w:rFonts w:ascii="Times New Roman" w:hAnsi="Times New Roman" w:cs="Times New Roman"/>
          <w:color w:val="auto"/>
          <w:lang w:val="sq-AL"/>
        </w:rPr>
        <w:t xml:space="preserve">në kuadrin e miratimit shpresojmë së afërmi të </w:t>
      </w:r>
      <w:r w:rsidR="00F14430" w:rsidRPr="00BE21DC">
        <w:rPr>
          <w:rFonts w:ascii="Times New Roman" w:hAnsi="Times New Roman" w:cs="Times New Roman"/>
          <w:color w:val="auto"/>
          <w:lang w:val="sq-AL"/>
        </w:rPr>
        <w:t xml:space="preserve">hartës së re gjyqësore </w:t>
      </w:r>
      <w:r w:rsidRPr="00BE21DC">
        <w:rPr>
          <w:rFonts w:ascii="Times New Roman" w:hAnsi="Times New Roman" w:cs="Times New Roman"/>
          <w:color w:val="auto"/>
          <w:lang w:val="sq-AL"/>
        </w:rPr>
        <w:t>jemi angazhuar p</w:t>
      </w:r>
      <w:r w:rsidR="00347E20" w:rsidRPr="00BE21DC">
        <w:rPr>
          <w:rFonts w:ascii="Times New Roman" w:hAnsi="Times New Roman" w:cs="Times New Roman"/>
          <w:color w:val="auto"/>
          <w:lang w:val="sq-AL"/>
        </w:rPr>
        <w:t>ë</w:t>
      </w:r>
      <w:r w:rsidRPr="00BE21DC">
        <w:rPr>
          <w:rFonts w:ascii="Times New Roman" w:hAnsi="Times New Roman" w:cs="Times New Roman"/>
          <w:color w:val="auto"/>
          <w:lang w:val="sq-AL"/>
        </w:rPr>
        <w:t>r marrjen e masave q</w:t>
      </w:r>
      <w:r w:rsidR="00347E20" w:rsidRPr="00BE21DC">
        <w:rPr>
          <w:rFonts w:ascii="Times New Roman" w:hAnsi="Times New Roman" w:cs="Times New Roman"/>
          <w:color w:val="auto"/>
          <w:lang w:val="sq-AL"/>
        </w:rPr>
        <w:t>ë</w:t>
      </w:r>
      <w:r w:rsidRPr="00BE21DC">
        <w:rPr>
          <w:rFonts w:ascii="Times New Roman" w:hAnsi="Times New Roman" w:cs="Times New Roman"/>
          <w:color w:val="auto"/>
          <w:lang w:val="sq-AL"/>
        </w:rPr>
        <w:t xml:space="preserve"> </w:t>
      </w:r>
      <w:r w:rsidR="002E4A7E" w:rsidRPr="00BE21DC">
        <w:rPr>
          <w:rFonts w:ascii="Times New Roman" w:hAnsi="Times New Roman" w:cs="Times New Roman"/>
          <w:color w:val="auto"/>
          <w:lang w:val="sq-AL"/>
        </w:rPr>
        <w:t xml:space="preserve">nevojiten </w:t>
      </w:r>
      <w:r w:rsidRPr="00BE21DC">
        <w:rPr>
          <w:rFonts w:ascii="Times New Roman" w:hAnsi="Times New Roman" w:cs="Times New Roman"/>
          <w:color w:val="auto"/>
          <w:lang w:val="sq-AL"/>
        </w:rPr>
        <w:t>p</w:t>
      </w:r>
      <w:r w:rsidR="00347E20" w:rsidRPr="00BE21DC">
        <w:rPr>
          <w:rFonts w:ascii="Times New Roman" w:hAnsi="Times New Roman" w:cs="Times New Roman"/>
          <w:color w:val="auto"/>
          <w:lang w:val="sq-AL"/>
        </w:rPr>
        <w:t>ë</w:t>
      </w:r>
      <w:r w:rsidRPr="00BE21DC">
        <w:rPr>
          <w:rFonts w:ascii="Times New Roman" w:hAnsi="Times New Roman" w:cs="Times New Roman"/>
          <w:color w:val="auto"/>
          <w:lang w:val="sq-AL"/>
        </w:rPr>
        <w:t xml:space="preserve">r </w:t>
      </w:r>
      <w:r w:rsidR="00F14430" w:rsidRPr="00BE21DC">
        <w:rPr>
          <w:rFonts w:ascii="Times New Roman" w:hAnsi="Times New Roman" w:cs="Times New Roman"/>
          <w:color w:val="auto"/>
          <w:lang w:val="sq-AL"/>
        </w:rPr>
        <w:t>përmirësime në infrastrukturë nëpërmjet r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ritjes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të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kapaciteteve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akomoduese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me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ambjente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pune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për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prokurorët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oficerët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policisë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gjyqësore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të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seksioneve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administratën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dhe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shërbimet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mbështetëse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në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prokurori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, me </w:t>
      </w:r>
      <w:proofErr w:type="spellStart"/>
      <w:r w:rsidR="00F14430" w:rsidRPr="00BE21DC">
        <w:rPr>
          <w:rFonts w:ascii="Times New Roman" w:hAnsi="Times New Roman" w:cs="Times New Roman"/>
          <w:color w:val="auto"/>
        </w:rPr>
        <w:t>synim</w:t>
      </w:r>
      <w:proofErr w:type="spellEnd"/>
      <w:r w:rsidR="00F14430" w:rsidRPr="00BE21DC">
        <w:rPr>
          <w:rFonts w:ascii="Times New Roman" w:hAnsi="Times New Roman" w:cs="Times New Roman"/>
          <w:color w:val="auto"/>
        </w:rPr>
        <w:t xml:space="preserve"> </w:t>
      </w:r>
      <w:r w:rsidR="00F14430" w:rsidRPr="00BE21DC">
        <w:rPr>
          <w:rFonts w:ascii="Times New Roman" w:hAnsi="Times New Roman" w:cs="Times New Roman"/>
          <w:color w:val="auto"/>
          <w:lang w:val="sq-AL"/>
        </w:rPr>
        <w:t>për të lehtësuar rritjen e ngarkesës dhe mbështetur veprimtarinë e prokurorëve me numër të reduktuar dhe pëmirësuar kushtet e punës, në gjithë sistemin e prokurorisë me juridiksion të përgjithshëm.</w:t>
      </w:r>
    </w:p>
    <w:p w:rsidR="0093465B" w:rsidRPr="00BE21DC" w:rsidRDefault="0093465B" w:rsidP="0093465B">
      <w:pPr>
        <w:pStyle w:val="Default"/>
        <w:spacing w:line="276" w:lineRule="auto"/>
        <w:ind w:firstLine="360"/>
        <w:jc w:val="both"/>
        <w:rPr>
          <w:rFonts w:ascii="Times New Roman" w:eastAsia="MS Mincho" w:hAnsi="Times New Roman" w:cs="Times New Roman"/>
        </w:rPr>
      </w:pPr>
    </w:p>
    <w:p w:rsidR="00F14430" w:rsidRPr="00BE21DC" w:rsidRDefault="00F14430" w:rsidP="00F14430">
      <w:pPr>
        <w:tabs>
          <w:tab w:val="num" w:pos="306"/>
          <w:tab w:val="num" w:pos="513"/>
        </w:tabs>
        <w:spacing w:after="0"/>
        <w:ind w:left="360"/>
        <w:jc w:val="both"/>
        <w:rPr>
          <w:rFonts w:ascii="Times New Roman" w:hAnsi="Times New Roman"/>
          <w:b/>
          <w:smallCaps/>
          <w:color w:val="FF0000"/>
          <w:sz w:val="24"/>
          <w:szCs w:val="24"/>
        </w:rPr>
      </w:pPr>
      <w:r w:rsidRPr="00BE21DC">
        <w:rPr>
          <w:rFonts w:ascii="Times New Roman" w:hAnsi="Times New Roman"/>
          <w:b/>
          <w:smallCaps/>
          <w:sz w:val="24"/>
          <w:szCs w:val="24"/>
        </w:rPr>
        <w:t xml:space="preserve">II.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Veprimtaria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prokurorive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problematikat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çështjet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që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kërkojnë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vëmendje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. </w:t>
      </w:r>
    </w:p>
    <w:p w:rsidR="00F14430" w:rsidRPr="00BE21DC" w:rsidRDefault="00F14430" w:rsidP="00F14430">
      <w:pPr>
        <w:tabs>
          <w:tab w:val="num" w:pos="306"/>
          <w:tab w:val="num" w:pos="51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b/>
        </w:rPr>
      </w:pPr>
      <w:r w:rsidRPr="00BE21DC">
        <w:rPr>
          <w:rFonts w:ascii="Times New Roman" w:hAnsi="Times New Roman" w:cs="Times New Roman"/>
          <w:b/>
        </w:rPr>
        <w:t xml:space="preserve">1. </w:t>
      </w:r>
      <w:proofErr w:type="spellStart"/>
      <w:r w:rsidRPr="00BE21DC">
        <w:rPr>
          <w:rFonts w:ascii="Times New Roman" w:hAnsi="Times New Roman" w:cs="Times New Roman"/>
          <w:b/>
        </w:rPr>
        <w:t>Veprimtaria</w:t>
      </w:r>
      <w:proofErr w:type="spellEnd"/>
      <w:r w:rsidRPr="00BE21DC">
        <w:rPr>
          <w:rFonts w:ascii="Times New Roman" w:hAnsi="Times New Roman" w:cs="Times New Roman"/>
          <w:b/>
        </w:rPr>
        <w:t xml:space="preserve"> e </w:t>
      </w:r>
      <w:proofErr w:type="spellStart"/>
      <w:r w:rsidRPr="00BE21DC">
        <w:rPr>
          <w:rFonts w:ascii="Times New Roman" w:hAnsi="Times New Roman" w:cs="Times New Roman"/>
          <w:b/>
        </w:rPr>
        <w:t>prokurorive</w:t>
      </w:r>
      <w:proofErr w:type="spellEnd"/>
      <w:r w:rsidRPr="00BE21DC">
        <w:rPr>
          <w:rFonts w:ascii="Times New Roman" w:hAnsi="Times New Roman" w:cs="Times New Roman"/>
          <w:b/>
        </w:rPr>
        <w:t xml:space="preserve"> </w:t>
      </w:r>
      <w:proofErr w:type="spellStart"/>
      <w:r w:rsidRPr="00BE21DC">
        <w:rPr>
          <w:rFonts w:ascii="Times New Roman" w:hAnsi="Times New Roman" w:cs="Times New Roman"/>
          <w:b/>
        </w:rPr>
        <w:t>të</w:t>
      </w:r>
      <w:proofErr w:type="spellEnd"/>
      <w:r w:rsidRPr="00BE21DC">
        <w:rPr>
          <w:rFonts w:ascii="Times New Roman" w:hAnsi="Times New Roman" w:cs="Times New Roman"/>
          <w:b/>
        </w:rPr>
        <w:t xml:space="preserve"> </w:t>
      </w:r>
      <w:proofErr w:type="spellStart"/>
      <w:r w:rsidRPr="00BE21DC">
        <w:rPr>
          <w:rFonts w:ascii="Times New Roman" w:hAnsi="Times New Roman" w:cs="Times New Roman"/>
          <w:b/>
        </w:rPr>
        <w:t>shkallës</w:t>
      </w:r>
      <w:proofErr w:type="spellEnd"/>
      <w:r w:rsidRPr="00BE21DC">
        <w:rPr>
          <w:rFonts w:ascii="Times New Roman" w:hAnsi="Times New Roman" w:cs="Times New Roman"/>
          <w:b/>
        </w:rPr>
        <w:t xml:space="preserve"> </w:t>
      </w:r>
      <w:proofErr w:type="spellStart"/>
      <w:r w:rsidRPr="00BE21DC">
        <w:rPr>
          <w:rFonts w:ascii="Times New Roman" w:hAnsi="Times New Roman" w:cs="Times New Roman"/>
          <w:b/>
        </w:rPr>
        <w:t>së</w:t>
      </w:r>
      <w:proofErr w:type="spellEnd"/>
      <w:r w:rsidRPr="00BE21DC">
        <w:rPr>
          <w:rFonts w:ascii="Times New Roman" w:hAnsi="Times New Roman" w:cs="Times New Roman"/>
          <w:b/>
        </w:rPr>
        <w:t xml:space="preserve"> </w:t>
      </w:r>
      <w:proofErr w:type="spellStart"/>
      <w:r w:rsidRPr="00BE21DC">
        <w:rPr>
          <w:rFonts w:ascii="Times New Roman" w:hAnsi="Times New Roman" w:cs="Times New Roman"/>
          <w:b/>
        </w:rPr>
        <w:t>parë</w:t>
      </w:r>
      <w:proofErr w:type="spellEnd"/>
      <w:r w:rsidRPr="00BE21DC">
        <w:rPr>
          <w:rFonts w:ascii="Times New Roman" w:hAnsi="Times New Roman" w:cs="Times New Roman"/>
          <w:b/>
        </w:rPr>
        <w:t xml:space="preserve"> me </w:t>
      </w:r>
      <w:proofErr w:type="spellStart"/>
      <w:r w:rsidRPr="00BE21DC">
        <w:rPr>
          <w:rFonts w:ascii="Times New Roman" w:hAnsi="Times New Roman" w:cs="Times New Roman"/>
          <w:b/>
        </w:rPr>
        <w:t>juridiksion</w:t>
      </w:r>
      <w:proofErr w:type="spellEnd"/>
      <w:r w:rsidRPr="00BE21DC">
        <w:rPr>
          <w:rFonts w:ascii="Times New Roman" w:hAnsi="Times New Roman" w:cs="Times New Roman"/>
          <w:b/>
        </w:rPr>
        <w:t xml:space="preserve"> </w:t>
      </w:r>
      <w:proofErr w:type="spellStart"/>
      <w:r w:rsidRPr="00BE21DC">
        <w:rPr>
          <w:rFonts w:ascii="Times New Roman" w:hAnsi="Times New Roman" w:cs="Times New Roman"/>
          <w:b/>
        </w:rPr>
        <w:t>të</w:t>
      </w:r>
      <w:proofErr w:type="spellEnd"/>
      <w:r w:rsidRPr="00BE21DC">
        <w:rPr>
          <w:rFonts w:ascii="Times New Roman" w:hAnsi="Times New Roman" w:cs="Times New Roman"/>
          <w:b/>
        </w:rPr>
        <w:t xml:space="preserve"> </w:t>
      </w:r>
      <w:proofErr w:type="spellStart"/>
      <w:r w:rsidRPr="00BE21DC">
        <w:rPr>
          <w:rFonts w:ascii="Times New Roman" w:hAnsi="Times New Roman" w:cs="Times New Roman"/>
          <w:b/>
        </w:rPr>
        <w:t>përgjithshëm</w:t>
      </w:r>
      <w:proofErr w:type="spellEnd"/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color w:val="FF0000"/>
          <w:lang w:val="sq-AL"/>
        </w:rPr>
      </w:pP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BE21DC">
        <w:rPr>
          <w:rFonts w:ascii="Times New Roman" w:hAnsi="Times New Roman" w:cs="Times New Roman"/>
          <w:color w:val="000000" w:themeColor="text1"/>
          <w:lang w:val="sq-AL"/>
        </w:rPr>
        <w:t>Raporti mbi gjendjen e kriminalitetit</w:t>
      </w:r>
      <w:r w:rsidR="002018C3" w:rsidRPr="00BE21DC">
        <w:rPr>
          <w:rFonts w:ascii="Times New Roman" w:hAnsi="Times New Roman" w:cs="Times New Roman"/>
          <w:color w:val="000000" w:themeColor="text1"/>
          <w:lang w:val="sq-AL"/>
        </w:rPr>
        <w:t>, ku përfshihet</w:t>
      </w:r>
      <w:r w:rsidRPr="00BE21DC">
        <w:rPr>
          <w:rFonts w:ascii="Times New Roman" w:hAnsi="Times New Roman" w:cs="Times New Roman"/>
          <w:color w:val="000000" w:themeColor="text1"/>
          <w:lang w:val="sq-AL"/>
        </w:rPr>
        <w:t xml:space="preserve"> dhe raporti mbi ngarkesën e punës të prokurorive për vitin 202</w:t>
      </w:r>
      <w:r w:rsidR="00E81917" w:rsidRPr="00BE21DC">
        <w:rPr>
          <w:rFonts w:ascii="Times New Roman" w:hAnsi="Times New Roman" w:cs="Times New Roman"/>
          <w:color w:val="000000" w:themeColor="text1"/>
          <w:lang w:val="sq-AL"/>
        </w:rPr>
        <w:t>1</w:t>
      </w:r>
      <w:r w:rsidRPr="00BE21DC">
        <w:rPr>
          <w:rFonts w:ascii="Times New Roman" w:hAnsi="Times New Roman" w:cs="Times New Roman"/>
          <w:color w:val="000000" w:themeColor="text1"/>
          <w:lang w:val="sq-AL"/>
        </w:rPr>
        <w:t xml:space="preserve"> që i janë vënë në dispozicion këtij Këshilli, paraqesin të dhëna të hollësishme për treguesit e punës dhe ecurinë e veprimtarisë për të gjithë prokuroritë. </w:t>
      </w: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color w:val="FF0000"/>
          <w:lang w:val="sq-AL"/>
        </w:rPr>
      </w:pP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color w:val="auto"/>
          <w:lang w:val="sq-AL"/>
        </w:rPr>
      </w:pPr>
      <w:r w:rsidRPr="00BE21DC">
        <w:rPr>
          <w:rFonts w:ascii="Times New Roman" w:hAnsi="Times New Roman" w:cs="Times New Roman"/>
          <w:color w:val="auto"/>
          <w:lang w:val="sq-AL"/>
        </w:rPr>
        <w:t xml:space="preserve">Në këtë </w:t>
      </w:r>
      <w:r w:rsidRPr="00BE21DC">
        <w:rPr>
          <w:rFonts w:ascii="Times New Roman" w:hAnsi="Times New Roman" w:cs="Times New Roman"/>
          <w:color w:val="000000" w:themeColor="text1"/>
          <w:lang w:val="sq-AL"/>
        </w:rPr>
        <w:t>raportim</w:t>
      </w:r>
      <w:r w:rsidRPr="00BE21DC">
        <w:rPr>
          <w:rFonts w:ascii="Times New Roman" w:hAnsi="Times New Roman" w:cs="Times New Roman"/>
          <w:color w:val="auto"/>
          <w:lang w:val="sq-AL"/>
        </w:rPr>
        <w:t xml:space="preserve">, vlerësojmë të </w:t>
      </w:r>
      <w:r w:rsidR="009148DE" w:rsidRPr="00BE21DC">
        <w:rPr>
          <w:rFonts w:ascii="Times New Roman" w:hAnsi="Times New Roman" w:cs="Times New Roman"/>
          <w:color w:val="auto"/>
          <w:lang w:val="sq-AL"/>
        </w:rPr>
        <w:t>ndalemi në disa tregues të pe</w:t>
      </w:r>
      <w:r w:rsidRPr="00BE21DC">
        <w:rPr>
          <w:rFonts w:ascii="Times New Roman" w:hAnsi="Times New Roman" w:cs="Times New Roman"/>
          <w:color w:val="auto"/>
          <w:lang w:val="sq-AL"/>
        </w:rPr>
        <w:t>rformancës së prokurorive, problematikat dhe disa çështje që kërkojnë vëmendjen tuaj.</w:t>
      </w:r>
    </w:p>
    <w:p w:rsidR="00F14430" w:rsidRPr="00BE21DC" w:rsidRDefault="00F14430" w:rsidP="00F14430">
      <w:pPr>
        <w:pStyle w:val="Default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ED4490" w:rsidRPr="00BE21DC" w:rsidRDefault="00F14430" w:rsidP="00BD3D5F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lang w:val="sq-AL"/>
        </w:rPr>
      </w:pPr>
      <w:r w:rsidRPr="00BE21DC">
        <w:rPr>
          <w:rFonts w:ascii="Times New Roman" w:hAnsi="Times New Roman" w:cs="Times New Roman"/>
          <w:lang w:val="sq-AL"/>
        </w:rPr>
        <w:t>Gjatë vitit 202</w:t>
      </w:r>
      <w:r w:rsidR="00E81917" w:rsidRPr="00BE21DC">
        <w:rPr>
          <w:rFonts w:ascii="Times New Roman" w:hAnsi="Times New Roman" w:cs="Times New Roman"/>
          <w:lang w:val="sq-AL"/>
        </w:rPr>
        <w:t>1</w:t>
      </w:r>
      <w:r w:rsidRPr="00BE21DC">
        <w:rPr>
          <w:rFonts w:ascii="Times New Roman" w:hAnsi="Times New Roman" w:cs="Times New Roman"/>
          <w:lang w:val="sq-AL"/>
        </w:rPr>
        <w:t xml:space="preserve">, janë </w:t>
      </w:r>
      <w:r w:rsidR="00E81917" w:rsidRPr="00BE21DC">
        <w:rPr>
          <w:rFonts w:ascii="Times New Roman" w:hAnsi="Times New Roman" w:cs="Times New Roman"/>
          <w:lang w:val="sq-AL"/>
        </w:rPr>
        <w:t>trajtuar 61015  materiale në shqyrtim</w:t>
      </w:r>
      <w:r w:rsidR="00E81917" w:rsidRPr="00BE21DC">
        <w:rPr>
          <w:rStyle w:val="FootnoteReference"/>
          <w:rFonts w:ascii="Times New Roman" w:hAnsi="Times New Roman" w:cs="Times New Roman"/>
          <w:lang w:val="sq-AL"/>
        </w:rPr>
        <w:footnoteReference w:id="3"/>
      </w:r>
      <w:r w:rsidR="00E81917" w:rsidRPr="00BE21DC">
        <w:rPr>
          <w:rFonts w:ascii="Times New Roman" w:hAnsi="Times New Roman" w:cs="Times New Roman"/>
          <w:lang w:val="sq-AL"/>
        </w:rPr>
        <w:t>, që përbën një rritje prej 4,35% në krahasim me vitin 2020. Janë ndjekur gjithsej 47512 procedime penale, që përbëjnë një rritje prej 5,97 % në krahasim me vitin 2020, nga të cilat 28368 janë procedime penale të regjistruara, me një rritje prej 1,71 % në krahasim me vitin 2020 dhe 940 procedime penale të rifilluara, që tregon rritje prej 46,87 % në krahasim me vitin 2020. Janë mbartur në vitin 2021, 18204 procedime penale me rritje prej 11,65 % krahasuar me procedimet e mbartura në vitin 2020. Është vendosur mosfillimi i procedimit për 13503 referime dhe kallëzime penale, me ulje prej 0,94 % në krahasim me vitin 2020.</w:t>
      </w:r>
    </w:p>
    <w:p w:rsidR="00BD3D5F" w:rsidRPr="00BE21DC" w:rsidRDefault="00BD3D5F" w:rsidP="00BD3D5F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lang w:val="sq-AL"/>
        </w:rPr>
      </w:pPr>
    </w:p>
    <w:p w:rsidR="00ED4490" w:rsidRPr="00BE21DC" w:rsidRDefault="00ED4490" w:rsidP="00ED4490">
      <w:pPr>
        <w:spacing w:after="0"/>
        <w:jc w:val="center"/>
        <w:rPr>
          <w:rFonts w:ascii="Times New Roman" w:hAnsi="Times New Roman"/>
          <w:noProof/>
          <w:color w:val="FF0000"/>
          <w:sz w:val="24"/>
          <w:szCs w:val="24"/>
          <w:lang w:val="sq-AL" w:eastAsia="sq-AL"/>
        </w:rPr>
      </w:pPr>
      <w:r w:rsidRPr="00BE21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B5C126" wp14:editId="68BF98AF">
            <wp:extent cx="5429250" cy="2543175"/>
            <wp:effectExtent l="57150" t="57150" r="57150" b="47625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4490" w:rsidRPr="00BE21DC" w:rsidRDefault="00ED4490" w:rsidP="00ED4490">
      <w:pPr>
        <w:autoSpaceDE w:val="0"/>
        <w:autoSpaceDN w:val="0"/>
        <w:adjustRightInd w:val="0"/>
        <w:spacing w:after="0"/>
        <w:ind w:left="-6" w:firstLine="366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BE2F72" w:rsidRPr="00BE21DC" w:rsidRDefault="00BE2F72" w:rsidP="00BE2F72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Gjatë vitit 2021 janë përfunduar </w:t>
      </w:r>
      <w:r w:rsidRPr="00BE21DC">
        <w:rPr>
          <w:rFonts w:ascii="Times New Roman" w:hAnsi="Times New Roman"/>
          <w:sz w:val="24"/>
          <w:szCs w:val="24"/>
          <w:lang w:val="sq-AL"/>
        </w:rPr>
        <w:t>2</w:t>
      </w:r>
      <w:r w:rsidR="002018C3" w:rsidRPr="00BE21DC">
        <w:rPr>
          <w:rFonts w:ascii="Times New Roman" w:hAnsi="Times New Roman"/>
          <w:sz w:val="24"/>
          <w:szCs w:val="24"/>
          <w:lang w:val="sq-AL"/>
        </w:rPr>
        <w:t>5688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çështje që përbën ulje prej 1,84 % të çështjeve  të përfunduara krahasuar me vitin 2020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>, prej të cilave: 40,86  % janë dërguar për gjykim, 22,62 % janë pushuar, 33,72  % janë pezulluar dhe 2,8 % janë transferuar në prokuroritë kompetente.</w:t>
      </w: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noProof/>
          <w:lang w:val="sq-AL"/>
        </w:rPr>
      </w:pPr>
    </w:p>
    <w:p w:rsidR="00BE2F72" w:rsidRPr="00BE21DC" w:rsidRDefault="00F14430" w:rsidP="0005636C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noProof/>
          <w:lang w:val="sq-AL"/>
        </w:rPr>
      </w:pPr>
      <w:r w:rsidRPr="00BE21DC">
        <w:rPr>
          <w:rFonts w:ascii="Times New Roman" w:hAnsi="Times New Roman" w:cs="Times New Roman"/>
          <w:noProof/>
          <w:lang w:val="sq-AL"/>
        </w:rPr>
        <w:t xml:space="preserve">Janë dërguan </w:t>
      </w:r>
      <w:r w:rsidR="00BE2F72" w:rsidRPr="00BE21DC">
        <w:rPr>
          <w:rFonts w:ascii="Times New Roman" w:hAnsi="Times New Roman" w:cs="Times New Roman"/>
          <w:noProof/>
          <w:lang w:val="sq-AL"/>
        </w:rPr>
        <w:t>në gjykatë për pushim 4686 çështje ose me rritje 0,83% krahasuar me vitin 2020, prej të cilëve 34,07 % janë pushuar për mungesë fakti. Nga të dhënat rezulton se për 144 çështje gjykata ka vendosur kthimin e akteve dhe vazhdimin e hetimeve ose me ulje 38,19 % krahasuar me vitin 2020, ndërsa në 6 çështje vendosi kthimin e akteve dhe urdhërimin e formulimit të akuzës, krahasuar me 5 vendime të tilla në vitin 2020.</w:t>
      </w:r>
    </w:p>
    <w:p w:rsidR="00BE2F72" w:rsidRPr="00BE21DC" w:rsidRDefault="00BE2F72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noProof/>
          <w:lang w:val="sq-AL"/>
        </w:rPr>
      </w:pPr>
    </w:p>
    <w:p w:rsidR="0005636C" w:rsidRPr="00BE21DC" w:rsidRDefault="0005636C" w:rsidP="0005636C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Janë dërguar në gjykatë për kalimin për gjykim 10507 çështje me akuzë ndaj 12353 të pandehurve. Krahasuar me vitin 2020 rezulton një rritje prej 5,35 e numrit të çështjeve të dërguara në gjykatë dhe 7,38 % e numrit të të pandehurve dërguar në gjykatë. </w:t>
      </w: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noProof/>
          <w:lang w:val="sq-AL"/>
        </w:rPr>
      </w:pP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noProof/>
          <w:lang w:val="sq-AL"/>
        </w:rPr>
      </w:pPr>
      <w:r w:rsidRPr="00BE21DC">
        <w:rPr>
          <w:rFonts w:ascii="Times New Roman" w:hAnsi="Times New Roman" w:cs="Times New Roman"/>
          <w:noProof/>
          <w:lang w:val="sq-AL"/>
        </w:rPr>
        <w:t>Në lidhje me vendimet e gjykatës, nga të dhënat statistikore rezulton se në vitin 202</w:t>
      </w:r>
      <w:r w:rsidR="0005636C" w:rsidRPr="00BE21DC">
        <w:rPr>
          <w:rFonts w:ascii="Times New Roman" w:hAnsi="Times New Roman" w:cs="Times New Roman"/>
          <w:noProof/>
          <w:lang w:val="sq-AL"/>
        </w:rPr>
        <w:t>1</w:t>
      </w:r>
      <w:r w:rsidRPr="00BE21DC">
        <w:rPr>
          <w:rFonts w:ascii="Times New Roman" w:hAnsi="Times New Roman" w:cs="Times New Roman"/>
          <w:noProof/>
          <w:lang w:val="sq-AL"/>
        </w:rPr>
        <w:t xml:space="preserve"> janë </w:t>
      </w:r>
      <w:r w:rsidRPr="00BE21DC">
        <w:rPr>
          <w:rFonts w:ascii="Times New Roman" w:hAnsi="Times New Roman" w:cs="Times New Roman"/>
          <w:noProof/>
          <w:color w:val="auto"/>
          <w:lang w:val="sq-AL"/>
        </w:rPr>
        <w:t xml:space="preserve">dënuar </w:t>
      </w:r>
      <w:r w:rsidR="0005636C" w:rsidRPr="00BE21DC">
        <w:rPr>
          <w:rFonts w:ascii="Times New Roman" w:hAnsi="Times New Roman" w:cs="Times New Roman"/>
          <w:noProof/>
          <w:color w:val="auto"/>
          <w:lang w:val="sq-AL"/>
        </w:rPr>
        <w:t xml:space="preserve">8371 </w:t>
      </w:r>
      <w:r w:rsidR="0005636C" w:rsidRPr="00BE21DC">
        <w:rPr>
          <w:rFonts w:ascii="Times New Roman" w:hAnsi="Times New Roman" w:cs="Times New Roman"/>
          <w:noProof/>
          <w:lang w:val="sq-AL"/>
        </w:rPr>
        <w:t>të pandehur dhe për 144 të pandehur është dhënë vendim për deklarimin të pafajshëm ose krahasuar me vitin 2020 me rritje 4,35 % e numrit të pandehur të dënuar dhe ulje 5,26 % e numrit të pandehurve të deklaruar të pafajshëm.</w:t>
      </w:r>
      <w:r w:rsidR="0005636C" w:rsidRPr="00BE21DC">
        <w:rPr>
          <w:rFonts w:ascii="Times New Roman" w:hAnsi="Times New Roman" w:cs="Times New Roman"/>
          <w:noProof/>
          <w:highlight w:val="yellow"/>
          <w:lang w:val="sq-AL"/>
        </w:rPr>
        <w:t xml:space="preserve">  </w:t>
      </w:r>
    </w:p>
    <w:p w:rsidR="00753073" w:rsidRPr="00BE21DC" w:rsidRDefault="00753073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noProof/>
          <w:lang w:val="sq-AL"/>
        </w:rPr>
      </w:pPr>
    </w:p>
    <w:p w:rsidR="00F14430" w:rsidRPr="00BE21DC" w:rsidRDefault="002E3FF6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b/>
          <w:lang w:val="sq-AL"/>
        </w:rPr>
      </w:pPr>
      <w:r w:rsidRPr="00BE21DC">
        <w:rPr>
          <w:rFonts w:ascii="Times New Roman" w:hAnsi="Times New Roman" w:cs="Times New Roman"/>
          <w:b/>
          <w:lang w:val="sq-AL"/>
        </w:rPr>
        <w:t>i</w:t>
      </w:r>
      <w:r w:rsidR="00F14430" w:rsidRPr="00BE21DC">
        <w:rPr>
          <w:rFonts w:ascii="Times New Roman" w:hAnsi="Times New Roman" w:cs="Times New Roman"/>
          <w:b/>
          <w:lang w:val="sq-AL"/>
        </w:rPr>
        <w:t xml:space="preserve">) Përformanca e prokurorive pranë gjykatave të shkallës së parë. </w:t>
      </w:r>
    </w:p>
    <w:p w:rsidR="00C4363D" w:rsidRPr="00BE21DC" w:rsidRDefault="00C4363D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b/>
          <w:i/>
          <w:lang w:val="sq-AL"/>
        </w:rPr>
      </w:pPr>
    </w:p>
    <w:p w:rsidR="00C4363D" w:rsidRPr="00BE21DC" w:rsidRDefault="00C4363D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b/>
          <w:i/>
          <w:lang w:val="sq-AL"/>
        </w:rPr>
      </w:pPr>
      <w:r w:rsidRPr="00BE21DC">
        <w:rPr>
          <w:rFonts w:ascii="Times New Roman" w:hAnsi="Times New Roman" w:cs="Times New Roman"/>
          <w:i/>
          <w:lang w:val="sq-AL"/>
        </w:rPr>
        <w:t>-</w:t>
      </w:r>
      <w:r w:rsidR="00080319" w:rsidRPr="00BE21DC">
        <w:rPr>
          <w:rFonts w:ascii="Times New Roman" w:hAnsi="Times New Roman" w:cs="Times New Roman"/>
          <w:b/>
          <w:i/>
          <w:lang w:val="sq-AL"/>
        </w:rPr>
        <w:t>Procedime t</w:t>
      </w:r>
      <w:r w:rsidRPr="00BE21DC">
        <w:rPr>
          <w:rFonts w:ascii="Times New Roman" w:hAnsi="Times New Roman" w:cs="Times New Roman"/>
          <w:b/>
          <w:i/>
          <w:lang w:val="sq-AL"/>
        </w:rPr>
        <w:t>ë regjistruara/procedime t</w:t>
      </w:r>
      <w:r w:rsidR="00347E20" w:rsidRPr="00BE21DC">
        <w:rPr>
          <w:rFonts w:ascii="Times New Roman" w:hAnsi="Times New Roman" w:cs="Times New Roman"/>
          <w:b/>
          <w:i/>
          <w:lang w:val="sq-AL"/>
        </w:rPr>
        <w:t>ë</w:t>
      </w:r>
      <w:r w:rsidRPr="00BE21DC">
        <w:rPr>
          <w:rFonts w:ascii="Times New Roman" w:hAnsi="Times New Roman" w:cs="Times New Roman"/>
          <w:b/>
          <w:i/>
          <w:lang w:val="sq-AL"/>
        </w:rPr>
        <w:t xml:space="preserve"> p</w:t>
      </w:r>
      <w:r w:rsidR="00347E20" w:rsidRPr="00BE21DC">
        <w:rPr>
          <w:rFonts w:ascii="Times New Roman" w:hAnsi="Times New Roman" w:cs="Times New Roman"/>
          <w:b/>
          <w:i/>
          <w:lang w:val="sq-AL"/>
        </w:rPr>
        <w:t>ë</w:t>
      </w:r>
      <w:r w:rsidRPr="00BE21DC">
        <w:rPr>
          <w:rFonts w:ascii="Times New Roman" w:hAnsi="Times New Roman" w:cs="Times New Roman"/>
          <w:b/>
          <w:i/>
          <w:lang w:val="sq-AL"/>
        </w:rPr>
        <w:t>rfunduara</w:t>
      </w:r>
      <w:r w:rsidRPr="00BE21DC">
        <w:rPr>
          <w:rStyle w:val="FootnoteReference"/>
          <w:rFonts w:ascii="Times New Roman" w:hAnsi="Times New Roman" w:cs="Times New Roman"/>
          <w:b/>
          <w:i/>
          <w:lang w:val="sq-AL"/>
        </w:rPr>
        <w:footnoteReference w:id="4"/>
      </w:r>
      <w:r w:rsidRPr="00BE21DC">
        <w:rPr>
          <w:rFonts w:ascii="Times New Roman" w:hAnsi="Times New Roman" w:cs="Times New Roman"/>
          <w:b/>
          <w:i/>
          <w:lang w:val="sq-AL"/>
        </w:rPr>
        <w:t xml:space="preserve"> (Niveli i efikasitetit)</w:t>
      </w:r>
    </w:p>
    <w:p w:rsidR="00D05C72" w:rsidRPr="00BE21DC" w:rsidRDefault="00D05C72" w:rsidP="00351CDF">
      <w:pPr>
        <w:autoSpaceDE w:val="0"/>
        <w:autoSpaceDN w:val="0"/>
        <w:adjustRightInd w:val="0"/>
        <w:spacing w:after="0"/>
        <w:ind w:left="-6" w:firstLine="366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BE21DC">
        <w:rPr>
          <w:rFonts w:ascii="Times New Roman" w:hAnsi="Times New Roman"/>
          <w:color w:val="000000"/>
          <w:sz w:val="24"/>
          <w:szCs w:val="24"/>
          <w:lang w:val="sq-AL"/>
        </w:rPr>
        <w:t>Të dhënat me numrin e procedimeve të regjistruara për secilën prokurori pranë gjykatave të shkallës së parë, përgjatë vitit 2021, janë në paraqitjen grafike më poshtë:</w:t>
      </w:r>
    </w:p>
    <w:p w:rsidR="00D05C72" w:rsidRPr="00BE21DC" w:rsidRDefault="00D05C72" w:rsidP="00D05C7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  <w:highlight w:val="yellow"/>
        </w:rPr>
        <w:drawing>
          <wp:inline distT="0" distB="0" distL="0" distR="0" wp14:anchorId="19514F2A" wp14:editId="5F56ACB6">
            <wp:extent cx="5715000" cy="2695575"/>
            <wp:effectExtent l="0" t="0" r="1905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753073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>Nga analiza në përqindje e raportit të çështjeve të përfunduara me procedimet e regjistruara në secilën prokurori për vitin 202</w:t>
      </w:r>
      <w:r w:rsidR="00753073" w:rsidRPr="00BE21DC">
        <w:rPr>
          <w:rFonts w:ascii="Times New Roman" w:hAnsi="Times New Roman"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evidentohet performancë më e ulët në Prokuroritë e rretheve gjyqësor </w:t>
      </w:r>
      <w:r w:rsidR="00753073" w:rsidRPr="00BE21DC">
        <w:rPr>
          <w:rFonts w:ascii="Times New Roman" w:hAnsi="Times New Roman"/>
          <w:sz w:val="24"/>
          <w:szCs w:val="24"/>
          <w:lang w:val="sq-AL"/>
        </w:rPr>
        <w:t>Sarand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>Lushnje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>Gjirokast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>r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>Kavaj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>, Tropoj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 xml:space="preserve"> me tregues 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>rformanc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>s n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 xml:space="preserve">n 70 %,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etj,  ndërsa përformanca më e  lartë evidentohet në Prokuroritë e Rretheve Gjyqësore Pukë, Kukës</w:t>
      </w:r>
      <w:r w:rsidR="00753073" w:rsidRPr="00BE21DC">
        <w:rPr>
          <w:rFonts w:ascii="Times New Roman" w:hAnsi="Times New Roman"/>
          <w:sz w:val="24"/>
          <w:szCs w:val="24"/>
          <w:lang w:val="sq-AL"/>
        </w:rPr>
        <w:t>,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53073" w:rsidRPr="00BE21DC">
        <w:rPr>
          <w:rFonts w:ascii="Times New Roman" w:hAnsi="Times New Roman"/>
          <w:sz w:val="24"/>
          <w:szCs w:val="24"/>
          <w:lang w:val="sq-AL"/>
        </w:rPr>
        <w:t xml:space="preserve">Mat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e </w:t>
      </w:r>
      <w:r w:rsidR="00753073" w:rsidRPr="00BE21DC">
        <w:rPr>
          <w:rFonts w:ascii="Times New Roman" w:hAnsi="Times New Roman"/>
          <w:sz w:val="24"/>
          <w:szCs w:val="24"/>
          <w:lang w:val="sq-AL"/>
        </w:rPr>
        <w:t>Fier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>, me tregues 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>rformanc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BF7ADA" w:rsidRPr="00BE21DC">
        <w:rPr>
          <w:rFonts w:ascii="Times New Roman" w:hAnsi="Times New Roman"/>
          <w:sz w:val="24"/>
          <w:szCs w:val="24"/>
          <w:lang w:val="sq-AL"/>
        </w:rPr>
        <w:t>s mbi 100%</w:t>
      </w:r>
      <w:r w:rsidRPr="00BE21DC">
        <w:rPr>
          <w:rFonts w:ascii="Times New Roman" w:hAnsi="Times New Roman"/>
          <w:sz w:val="24"/>
          <w:szCs w:val="24"/>
          <w:lang w:val="sq-AL"/>
        </w:rPr>
        <w:t>.</w:t>
      </w:r>
    </w:p>
    <w:p w:rsidR="00753073" w:rsidRPr="00BE21DC" w:rsidRDefault="00753073" w:rsidP="00753073">
      <w:pPr>
        <w:pStyle w:val="NoSpacing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highlight w:val="yellow"/>
          <w:lang w:val="sq-AL"/>
        </w:rPr>
      </w:pPr>
    </w:p>
    <w:p w:rsidR="00753073" w:rsidRPr="00BE21DC" w:rsidRDefault="00753073" w:rsidP="00753073">
      <w:pPr>
        <w:pStyle w:val="NoSpacing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B2CB3A3" wp14:editId="1CF42ED0">
            <wp:extent cx="5943600" cy="2889250"/>
            <wp:effectExtent l="0" t="0" r="0" b="6350"/>
            <wp:docPr id="1" name="Picture 1"/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4"/>
                    <pic:cNvPicPr>
                      <a:picLocks noGrp="1" noSelect="1" noRot="1" noChangeAspect="1" noMove="1" noResize="1" noEditPoints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73" w:rsidRPr="00BE21DC" w:rsidRDefault="00753073" w:rsidP="0075307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148DE" w:rsidRPr="00BE21DC">
        <w:rPr>
          <w:rFonts w:ascii="Times New Roman" w:hAnsi="Times New Roman"/>
          <w:i/>
          <w:sz w:val="24"/>
          <w:szCs w:val="24"/>
          <w:lang w:val="sq-AL"/>
        </w:rPr>
        <w:t>Ky raport evidenton pe</w:t>
      </w:r>
      <w:r w:rsidRPr="00BE21DC">
        <w:rPr>
          <w:rFonts w:ascii="Times New Roman" w:hAnsi="Times New Roman"/>
          <w:i/>
          <w:sz w:val="24"/>
          <w:szCs w:val="24"/>
          <w:lang w:val="sq-AL"/>
        </w:rPr>
        <w:t xml:space="preserve">rformancën lidhur me efikasitetin e punës së prokurorive </w:t>
      </w:r>
      <w:r w:rsidR="00C47C2B" w:rsidRPr="00BE21DC">
        <w:rPr>
          <w:rFonts w:ascii="Times New Roman" w:hAnsi="Times New Roman"/>
          <w:i/>
          <w:sz w:val="24"/>
          <w:szCs w:val="24"/>
          <w:lang w:val="sq-AL"/>
        </w:rPr>
        <w:t>p</w:t>
      </w:r>
      <w:r w:rsidR="00347E20" w:rsidRPr="00BE21DC">
        <w:rPr>
          <w:rFonts w:ascii="Times New Roman" w:hAnsi="Times New Roman"/>
          <w:i/>
          <w:sz w:val="24"/>
          <w:szCs w:val="24"/>
          <w:lang w:val="sq-AL"/>
        </w:rPr>
        <w:t>ë</w:t>
      </w:r>
      <w:r w:rsidR="00C47C2B" w:rsidRPr="00BE21DC">
        <w:rPr>
          <w:rFonts w:ascii="Times New Roman" w:hAnsi="Times New Roman"/>
          <w:i/>
          <w:sz w:val="24"/>
          <w:szCs w:val="24"/>
          <w:lang w:val="sq-AL"/>
        </w:rPr>
        <w:t>rgjat</w:t>
      </w:r>
      <w:r w:rsidR="00347E20" w:rsidRPr="00BE21DC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i/>
          <w:sz w:val="24"/>
          <w:szCs w:val="24"/>
          <w:lang w:val="sq-AL"/>
        </w:rPr>
        <w:t xml:space="preserve"> vitit 202</w:t>
      </w:r>
      <w:r w:rsidR="00C47C2B" w:rsidRPr="00BE21DC">
        <w:rPr>
          <w:rFonts w:ascii="Times New Roman" w:hAnsi="Times New Roman"/>
          <w:i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i/>
          <w:sz w:val="24"/>
          <w:szCs w:val="24"/>
          <w:lang w:val="sq-AL"/>
        </w:rPr>
        <w:t xml:space="preserve">, ku pasqyrohet gatishmëria dhe mundësia e secilës prokurori për të përfunduar brenda vitit procedimet e regjistruara. Në këtë vështrim vihen re përqindjet e efikasitetit, siç </w:t>
      </w:r>
      <w:r w:rsidR="009148DE" w:rsidRPr="00BE21DC">
        <w:rPr>
          <w:rFonts w:ascii="Times New Roman" w:hAnsi="Times New Roman"/>
          <w:i/>
          <w:sz w:val="24"/>
          <w:szCs w:val="24"/>
          <w:lang w:val="sq-AL"/>
        </w:rPr>
        <w:t>janë, kur vlera është më e vogël</w:t>
      </w:r>
      <w:r w:rsidRPr="00BE21DC">
        <w:rPr>
          <w:rFonts w:ascii="Times New Roman" w:hAnsi="Times New Roman"/>
          <w:i/>
          <w:sz w:val="24"/>
          <w:szCs w:val="24"/>
          <w:lang w:val="sq-AL"/>
        </w:rPr>
        <w:t xml:space="preserve"> se 100% tregon se prokuro</w:t>
      </w:r>
      <w:r w:rsidR="009148DE" w:rsidRPr="00BE21DC">
        <w:rPr>
          <w:rFonts w:ascii="Times New Roman" w:hAnsi="Times New Roman"/>
          <w:i/>
          <w:sz w:val="24"/>
          <w:szCs w:val="24"/>
          <w:lang w:val="sq-AL"/>
        </w:rPr>
        <w:t>ria nuk ka arritur të përfundoj</w:t>
      </w:r>
      <w:r w:rsidRPr="00BE21DC">
        <w:rPr>
          <w:rFonts w:ascii="Times New Roman" w:hAnsi="Times New Roman"/>
          <w:i/>
          <w:sz w:val="24"/>
          <w:szCs w:val="24"/>
          <w:lang w:val="sq-AL"/>
        </w:rPr>
        <w:t>ë të gjitha procedimet e regjistruara, kur vlera është 100% tregon se prokuroria ka qenë plotësisht efikase në përfundimin/zgjidhjen e procedimeve të regjistruara, dhe kur vlera është më e lartë se 100% tregon se prokuroria ka arritur të përfundoj më shumë procedime se sa ka regjistruar, duke ulur dhe numrin e procedimeve të mbartura nga viti paraardhës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BE21DC">
        <w:rPr>
          <w:rFonts w:ascii="Times New Roman" w:hAnsi="Times New Roman"/>
          <w:i/>
          <w:sz w:val="24"/>
          <w:szCs w:val="24"/>
          <w:lang w:val="sq-AL"/>
        </w:rPr>
        <w:t>-</w:t>
      </w:r>
      <w:r w:rsidRPr="00BE21DC">
        <w:rPr>
          <w:rFonts w:ascii="Times New Roman" w:hAnsi="Times New Roman"/>
          <w:b/>
          <w:i/>
          <w:sz w:val="24"/>
          <w:szCs w:val="24"/>
          <w:lang w:val="sq-AL"/>
        </w:rPr>
        <w:t>Procedime në ndjekje/procedime të përfunduara</w:t>
      </w:r>
      <w:r w:rsidR="00E32579" w:rsidRPr="00BE21DC">
        <w:rPr>
          <w:rStyle w:val="FootnoteReference"/>
          <w:rFonts w:ascii="Times New Roman" w:hAnsi="Times New Roman"/>
          <w:b/>
          <w:i/>
          <w:sz w:val="24"/>
          <w:szCs w:val="24"/>
          <w:lang w:val="sq-AL"/>
        </w:rPr>
        <w:footnoteReference w:id="5"/>
      </w:r>
      <w:r w:rsidRPr="00BE21DC">
        <w:rPr>
          <w:rFonts w:ascii="Times New Roman" w:hAnsi="Times New Roman"/>
          <w:b/>
          <w:i/>
          <w:sz w:val="24"/>
          <w:szCs w:val="24"/>
          <w:lang w:val="sq-AL"/>
        </w:rPr>
        <w:t xml:space="preserve"> (Shkalla e mbingarkesës në prokurori)</w:t>
      </w:r>
    </w:p>
    <w:p w:rsidR="00E32579" w:rsidRPr="00BE21DC" w:rsidRDefault="00E32579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lang w:val="sq-AL"/>
        </w:rPr>
      </w:pPr>
      <w:r w:rsidRPr="00BE21DC">
        <w:rPr>
          <w:rFonts w:ascii="Times New Roman" w:hAnsi="Times New Roman" w:cs="Times New Roman"/>
          <w:lang w:val="sq-AL"/>
        </w:rPr>
        <w:t xml:space="preserve">Të dhënat sipas secilës prokurori </w:t>
      </w:r>
      <w:r w:rsidR="002018C3" w:rsidRPr="00BE21DC">
        <w:rPr>
          <w:rFonts w:ascii="Times New Roman" w:hAnsi="Times New Roman" w:cs="Times New Roman"/>
          <w:lang w:val="sq-AL"/>
        </w:rPr>
        <w:t xml:space="preserve">për vitin 2021 </w:t>
      </w:r>
      <w:r w:rsidRPr="00BE21DC">
        <w:rPr>
          <w:rFonts w:ascii="Times New Roman" w:hAnsi="Times New Roman" w:cs="Times New Roman"/>
          <w:lang w:val="sq-AL"/>
        </w:rPr>
        <w:t>që tregojnë</w:t>
      </w:r>
      <w:r w:rsidR="00E32579" w:rsidRPr="00BE21DC">
        <w:rPr>
          <w:rFonts w:ascii="Times New Roman" w:hAnsi="Times New Roman" w:cs="Times New Roman"/>
          <w:lang w:val="sq-AL"/>
        </w:rPr>
        <w:t xml:space="preserve"> </w:t>
      </w:r>
      <w:r w:rsidRPr="00BE21DC">
        <w:rPr>
          <w:rFonts w:ascii="Times New Roman" w:hAnsi="Times New Roman" w:cs="Times New Roman"/>
          <w:lang w:val="sq-AL"/>
        </w:rPr>
        <w:t>totalin</w:t>
      </w:r>
      <w:r w:rsidR="00E32579" w:rsidRPr="00BE21DC">
        <w:rPr>
          <w:rFonts w:ascii="Times New Roman" w:hAnsi="Times New Roman" w:cs="Times New Roman"/>
          <w:lang w:val="sq-AL"/>
        </w:rPr>
        <w:t xml:space="preserve"> (volumin e punës) jan</w:t>
      </w:r>
      <w:r w:rsidR="00347E20" w:rsidRPr="00BE21DC">
        <w:rPr>
          <w:rFonts w:ascii="Times New Roman" w:hAnsi="Times New Roman" w:cs="Times New Roman"/>
          <w:lang w:val="sq-AL"/>
        </w:rPr>
        <w:t>ë</w:t>
      </w:r>
      <w:r w:rsidRPr="00BE21DC">
        <w:rPr>
          <w:rFonts w:ascii="Times New Roman" w:hAnsi="Times New Roman" w:cs="Times New Roman"/>
          <w:lang w:val="sq-AL"/>
        </w:rPr>
        <w:t>: -1</w:t>
      </w:r>
      <w:r w:rsidR="00BF7ADA" w:rsidRPr="00BE21DC">
        <w:rPr>
          <w:rFonts w:ascii="Times New Roman" w:hAnsi="Times New Roman" w:cs="Times New Roman"/>
          <w:lang w:val="sq-AL"/>
        </w:rPr>
        <w:t>8192</w:t>
      </w:r>
      <w:r w:rsidRPr="00BE21DC">
        <w:rPr>
          <w:rFonts w:ascii="Times New Roman" w:hAnsi="Times New Roman" w:cs="Times New Roman"/>
          <w:lang w:val="sq-AL"/>
        </w:rPr>
        <w:t xml:space="preserve"> çështje të mbartura, -28</w:t>
      </w:r>
      <w:r w:rsidR="00BF7ADA" w:rsidRPr="00BE21DC">
        <w:rPr>
          <w:rFonts w:ascii="Times New Roman" w:hAnsi="Times New Roman" w:cs="Times New Roman"/>
          <w:lang w:val="sq-AL"/>
        </w:rPr>
        <w:t>349</w:t>
      </w:r>
      <w:r w:rsidRPr="00BE21DC">
        <w:rPr>
          <w:rFonts w:ascii="Times New Roman" w:hAnsi="Times New Roman" w:cs="Times New Roman"/>
          <w:lang w:val="sq-AL"/>
        </w:rPr>
        <w:t xml:space="preserve"> çështje të regjistr</w:t>
      </w:r>
      <w:r w:rsidR="00BF7ADA" w:rsidRPr="00BE21DC">
        <w:rPr>
          <w:rFonts w:ascii="Times New Roman" w:hAnsi="Times New Roman" w:cs="Times New Roman"/>
          <w:lang w:val="sq-AL"/>
        </w:rPr>
        <w:t>uara, -93</w:t>
      </w:r>
      <w:r w:rsidRPr="00BE21DC">
        <w:rPr>
          <w:rFonts w:ascii="Times New Roman" w:hAnsi="Times New Roman" w:cs="Times New Roman"/>
          <w:lang w:val="sq-AL"/>
        </w:rPr>
        <w:t>4 çështje të rifilluara dhe -13</w:t>
      </w:r>
      <w:r w:rsidR="00BF7ADA" w:rsidRPr="00BE21DC">
        <w:rPr>
          <w:rFonts w:ascii="Times New Roman" w:hAnsi="Times New Roman" w:cs="Times New Roman"/>
          <w:lang w:val="sq-AL"/>
        </w:rPr>
        <w:t>501</w:t>
      </w:r>
      <w:r w:rsidRPr="00BE21DC">
        <w:rPr>
          <w:rFonts w:ascii="Times New Roman" w:hAnsi="Times New Roman" w:cs="Times New Roman"/>
          <w:lang w:val="sq-AL"/>
        </w:rPr>
        <w:t xml:space="preserve"> procedime të mosfilluara, </w:t>
      </w:r>
      <w:r w:rsidR="002018C3" w:rsidRPr="00BE21DC">
        <w:rPr>
          <w:rFonts w:ascii="Times New Roman" w:hAnsi="Times New Roman" w:cs="Times New Roman"/>
          <w:lang w:val="sq-AL"/>
        </w:rPr>
        <w:t xml:space="preserve">dhe </w:t>
      </w:r>
      <w:r w:rsidRPr="00BE21DC">
        <w:rPr>
          <w:rFonts w:ascii="Times New Roman" w:hAnsi="Times New Roman" w:cs="Times New Roman"/>
          <w:lang w:val="sq-AL"/>
        </w:rPr>
        <w:t xml:space="preserve">paraqitjen </w:t>
      </w:r>
      <w:r w:rsidR="002018C3" w:rsidRPr="00BE21DC">
        <w:rPr>
          <w:rFonts w:ascii="Times New Roman" w:hAnsi="Times New Roman" w:cs="Times New Roman"/>
          <w:lang w:val="sq-AL"/>
        </w:rPr>
        <w:t xml:space="preserve">në </w:t>
      </w:r>
      <w:r w:rsidRPr="00BE21DC">
        <w:rPr>
          <w:rFonts w:ascii="Times New Roman" w:hAnsi="Times New Roman" w:cs="Times New Roman"/>
          <w:lang w:val="sq-AL"/>
        </w:rPr>
        <w:t>grafikun më poshtë.</w:t>
      </w:r>
    </w:p>
    <w:p w:rsidR="00E32579" w:rsidRPr="00BE21DC" w:rsidRDefault="00E32579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lang w:val="sq-AL"/>
        </w:rPr>
      </w:pPr>
    </w:p>
    <w:p w:rsidR="00BF7ADA" w:rsidRPr="00BE21DC" w:rsidRDefault="00E32579" w:rsidP="00E32579">
      <w:pPr>
        <w:pStyle w:val="Default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BE21DC">
        <w:rPr>
          <w:rFonts w:ascii="Times New Roman" w:hAnsi="Times New Roman" w:cs="Times New Roman"/>
          <w:noProof/>
        </w:rPr>
        <w:drawing>
          <wp:inline distT="0" distB="0" distL="0" distR="0" wp14:anchorId="5EB496AF" wp14:editId="5105AF75">
            <wp:extent cx="5400675" cy="4257675"/>
            <wp:effectExtent l="19050" t="19050" r="9525" b="9525"/>
            <wp:docPr id="9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>Nga analiza në përqindje e raportit të procedimeve të përfunduara me çështjet e mbartura dhe procedimet e regjistruara, etj (procedimet në ndjekje) në secilën prokurori për vitin 202</w:t>
      </w:r>
      <w:r w:rsidR="00BC20D8" w:rsidRPr="00BE21DC">
        <w:rPr>
          <w:rFonts w:ascii="Times New Roman" w:hAnsi="Times New Roman"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sz w:val="24"/>
          <w:szCs w:val="24"/>
          <w:lang w:val="sq-AL"/>
        </w:rPr>
        <w:t>, evidentohen treguesit si: nga performan</w:t>
      </w:r>
      <w:r w:rsidR="009148DE" w:rsidRPr="00BE21DC">
        <w:rPr>
          <w:rFonts w:ascii="Times New Roman" w:hAnsi="Times New Roman"/>
          <w:sz w:val="24"/>
          <w:szCs w:val="24"/>
          <w:lang w:val="sq-AL"/>
        </w:rPr>
        <w:t>ca më e ulët që konstatohet në p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rokurorinë e rrethit gjyqësor </w:t>
      </w:r>
      <w:r w:rsidR="00BC20D8" w:rsidRPr="00BE21DC">
        <w:rPr>
          <w:rFonts w:ascii="Times New Roman" w:hAnsi="Times New Roman"/>
          <w:sz w:val="24"/>
          <w:szCs w:val="24"/>
          <w:lang w:val="sq-AL"/>
        </w:rPr>
        <w:t>Sarand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, ku janë përfunduar </w:t>
      </w:r>
      <w:r w:rsidR="00BC20D8" w:rsidRPr="00BE21DC">
        <w:rPr>
          <w:rFonts w:ascii="Times New Roman" w:hAnsi="Times New Roman"/>
          <w:sz w:val="24"/>
          <w:szCs w:val="24"/>
          <w:lang w:val="sq-AL"/>
        </w:rPr>
        <w:t>27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% e procedimeve në ndjekje, e më pas vijon me rritje në rrethet Gjirokastër, </w:t>
      </w:r>
      <w:r w:rsidR="00BC20D8" w:rsidRPr="00BE21DC">
        <w:rPr>
          <w:rFonts w:ascii="Times New Roman" w:hAnsi="Times New Roman"/>
          <w:sz w:val="24"/>
          <w:szCs w:val="24"/>
          <w:lang w:val="sq-AL"/>
        </w:rPr>
        <w:t xml:space="preserve">Berat, </w:t>
      </w:r>
      <w:r w:rsidRPr="00BE21DC">
        <w:rPr>
          <w:rFonts w:ascii="Times New Roman" w:hAnsi="Times New Roman"/>
          <w:sz w:val="24"/>
          <w:szCs w:val="24"/>
          <w:lang w:val="sq-AL"/>
        </w:rPr>
        <w:t>Dibër</w:t>
      </w:r>
      <w:r w:rsidR="00BC20D8" w:rsidRPr="00BE21DC">
        <w:rPr>
          <w:rFonts w:ascii="Times New Roman" w:hAnsi="Times New Roman"/>
          <w:sz w:val="24"/>
          <w:szCs w:val="24"/>
          <w:lang w:val="sq-AL"/>
        </w:rPr>
        <w:t>, Lushnje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etj, </w:t>
      </w:r>
      <w:r w:rsidR="00BC20D8" w:rsidRPr="00BE21DC">
        <w:rPr>
          <w:rFonts w:ascii="Times New Roman" w:hAnsi="Times New Roman"/>
          <w:sz w:val="24"/>
          <w:szCs w:val="24"/>
          <w:lang w:val="sq-AL"/>
        </w:rPr>
        <w:t>dhe vijon me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në performancën më të lartë në Prokurorinë e Rrethit Gjyqësor Mat, ku janë përfunduar 97 % e procedimeve në ndjekje në atë prokurori </w:t>
      </w:r>
      <w:r w:rsidR="00801E00" w:rsidRPr="00BE21DC">
        <w:rPr>
          <w:rFonts w:ascii="Times New Roman" w:hAnsi="Times New Roman"/>
          <w:sz w:val="24"/>
          <w:szCs w:val="24"/>
          <w:lang w:val="sq-AL"/>
        </w:rPr>
        <w:t>dhe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që vijon në rend zbritës në rrethet Kukës, Pukë, Kurbin</w:t>
      </w:r>
      <w:r w:rsidR="00BC20D8"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E21DC">
        <w:rPr>
          <w:rFonts w:ascii="Times New Roman" w:hAnsi="Times New Roman"/>
          <w:sz w:val="24"/>
          <w:szCs w:val="24"/>
          <w:lang w:val="sq-AL"/>
        </w:rPr>
        <w:t>etj.</w:t>
      </w:r>
    </w:p>
    <w:p w:rsidR="00BC20D8" w:rsidRPr="00BE21DC" w:rsidRDefault="00BC20D8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BC20D8" w:rsidRPr="00BE21DC" w:rsidRDefault="00BC20D8" w:rsidP="00BC20D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290D51" wp14:editId="5BF0D941">
            <wp:extent cx="5731510" cy="3029862"/>
            <wp:effectExtent l="0" t="0" r="2540" b="0"/>
            <wp:docPr id="7" name="Picture 7"/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"/>
                    <pic:cNvPicPr>
                      <a:picLocks noGrp="1" noSelect="1" noRot="1" noChangeAspect="1" noMove="1" noResize="1" noEditPoints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2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>Raporti më sipër evidenton se prokuroritë me përqindje nën 50</w:t>
      </w:r>
      <w:r w:rsidR="00C47C2B"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E21DC">
        <w:rPr>
          <w:rFonts w:ascii="Times New Roman" w:hAnsi="Times New Roman"/>
          <w:sz w:val="24"/>
          <w:szCs w:val="24"/>
          <w:lang w:val="sq-AL"/>
        </w:rPr>
        <w:t>% të çështjeve të përfunduara brenda vitit 202</w:t>
      </w:r>
      <w:r w:rsidR="00C47C2B" w:rsidRPr="00BE21DC">
        <w:rPr>
          <w:rFonts w:ascii="Times New Roman" w:hAnsi="Times New Roman"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sz w:val="24"/>
          <w:szCs w:val="24"/>
          <w:lang w:val="sq-AL"/>
        </w:rPr>
        <w:t>, dhe jo vetëm, me të njëjtin numër faktik të prokurorëve, vlerësojmë se mund t’ju duhej më shumë se 1 vit efikasitet pun</w:t>
      </w:r>
      <w:r w:rsidR="00C47C2B" w:rsidRPr="00BE21DC">
        <w:rPr>
          <w:rFonts w:ascii="Times New Roman" w:hAnsi="Times New Roman"/>
          <w:sz w:val="24"/>
          <w:szCs w:val="24"/>
          <w:lang w:val="sq-AL"/>
        </w:rPr>
        <w:t>e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për të përfunduar të gjitha çështje në ndjekje, pa regjistruar procedime të reja, rrethana që evidentojnë nevoja emergjente për të plotësuar vakancat, për të normalizuar veprimtarinë në Prokuroritë e rretheve gjyqësore </w:t>
      </w:r>
      <w:r w:rsidR="00C47C2B" w:rsidRPr="00BE21DC">
        <w:rPr>
          <w:rFonts w:ascii="Times New Roman" w:hAnsi="Times New Roman"/>
          <w:sz w:val="24"/>
          <w:szCs w:val="24"/>
          <w:lang w:val="sq-AL"/>
        </w:rPr>
        <w:t xml:space="preserve">Sarandë, Gjirokastër,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Berat, </w:t>
      </w:r>
      <w:r w:rsidR="00C47C2B" w:rsidRPr="00BE21DC">
        <w:rPr>
          <w:rFonts w:ascii="Times New Roman" w:hAnsi="Times New Roman"/>
          <w:sz w:val="24"/>
          <w:szCs w:val="24"/>
          <w:lang w:val="sq-AL"/>
        </w:rPr>
        <w:t>Dibër, Lushnje, Tropoj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C47C2B" w:rsidRPr="00BE21DC">
        <w:rPr>
          <w:rFonts w:ascii="Times New Roman" w:hAnsi="Times New Roman"/>
          <w:sz w:val="24"/>
          <w:szCs w:val="24"/>
          <w:lang w:val="sq-AL"/>
        </w:rPr>
        <w:t>, Kavajë e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Shkodër.</w:t>
      </w:r>
    </w:p>
    <w:p w:rsidR="00E32579" w:rsidRPr="00BE21DC" w:rsidRDefault="00E32579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>-</w:t>
      </w:r>
      <w:r w:rsidRPr="00BE21DC">
        <w:rPr>
          <w:rFonts w:ascii="Times New Roman" w:hAnsi="Times New Roman"/>
          <w:b/>
          <w:i/>
          <w:sz w:val="24"/>
          <w:szCs w:val="24"/>
          <w:lang w:val="sq-AL"/>
        </w:rPr>
        <w:t>Ngarkesa e prokurorëve</w:t>
      </w:r>
      <w:r w:rsidR="00E64318" w:rsidRPr="00BE21DC">
        <w:rPr>
          <w:rStyle w:val="FootnoteReference"/>
          <w:rFonts w:ascii="Times New Roman" w:hAnsi="Times New Roman"/>
          <w:b/>
          <w:i/>
          <w:sz w:val="24"/>
          <w:szCs w:val="24"/>
          <w:lang w:val="sq-AL"/>
        </w:rPr>
        <w:footnoteReference w:id="6"/>
      </w:r>
      <w:r w:rsidRPr="00BE21DC">
        <w:rPr>
          <w:rFonts w:ascii="Times New Roman" w:hAnsi="Times New Roman"/>
          <w:b/>
          <w:i/>
          <w:sz w:val="24"/>
          <w:szCs w:val="24"/>
          <w:lang w:val="sq-AL"/>
        </w:rPr>
        <w:t>.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71FE1" w:rsidRPr="00BE21DC" w:rsidRDefault="00071FE1" w:rsidP="00071FE1">
      <w:pPr>
        <w:autoSpaceDE w:val="0"/>
        <w:autoSpaceDN w:val="0"/>
        <w:adjustRightInd w:val="0"/>
        <w:spacing w:after="0"/>
        <w:ind w:left="-6" w:firstLine="366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BE21DC">
        <w:rPr>
          <w:rFonts w:ascii="Times New Roman" w:hAnsi="Times New Roman"/>
          <w:color w:val="000000"/>
          <w:sz w:val="24"/>
          <w:szCs w:val="24"/>
          <w:lang w:val="sq-AL"/>
        </w:rPr>
        <w:t>Të dhënat p</w:t>
      </w:r>
      <w:r w:rsidR="00BD3D5F" w:rsidRPr="00BE21D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color w:val="000000"/>
          <w:sz w:val="24"/>
          <w:szCs w:val="24"/>
          <w:lang w:val="sq-AL"/>
        </w:rPr>
        <w:t xml:space="preserve">r </w:t>
      </w:r>
      <w:r w:rsidRPr="00BE21DC">
        <w:rPr>
          <w:rFonts w:ascii="Times New Roman" w:hAnsi="Times New Roman"/>
          <w:sz w:val="24"/>
          <w:szCs w:val="24"/>
          <w:lang w:val="sq-AL"/>
        </w:rPr>
        <w:t>mesatar</w:t>
      </w:r>
      <w:r w:rsidR="00801E00" w:rsidRPr="00BE21DC">
        <w:rPr>
          <w:rFonts w:ascii="Times New Roman" w:hAnsi="Times New Roman"/>
          <w:sz w:val="24"/>
          <w:szCs w:val="24"/>
          <w:lang w:val="sq-AL"/>
        </w:rPr>
        <w:t>en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e çështjeve të përfunduara për çdo prokuror sipas numrit faktik të prokurorëve </w:t>
      </w:r>
      <w:r w:rsidRPr="00BE21DC">
        <w:rPr>
          <w:rFonts w:ascii="Times New Roman" w:hAnsi="Times New Roman"/>
          <w:color w:val="000000"/>
          <w:sz w:val="24"/>
          <w:szCs w:val="24"/>
          <w:lang w:val="sq-AL"/>
        </w:rPr>
        <w:t xml:space="preserve">përgjatë vitit 2021,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sipas prokurorive </w:t>
      </w:r>
      <w:r w:rsidR="00801E00" w:rsidRPr="00BE21DC">
        <w:rPr>
          <w:rFonts w:ascii="Times New Roman" w:hAnsi="Times New Roman"/>
          <w:sz w:val="24"/>
          <w:szCs w:val="24"/>
          <w:lang w:val="sq-AL"/>
        </w:rPr>
        <w:t xml:space="preserve">janë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në paraqitjen grafike, si më poshtë: </w:t>
      </w:r>
    </w:p>
    <w:p w:rsidR="00E64318" w:rsidRDefault="00E64318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BE21DC" w:rsidRDefault="00BE21DC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BE21DC" w:rsidRDefault="00BE21DC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BE21DC" w:rsidRDefault="00BE21DC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BE21DC" w:rsidRDefault="00BE21DC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BE21DC" w:rsidRDefault="00BE21DC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BE21DC" w:rsidRDefault="00BE21DC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BE21DC" w:rsidRDefault="00BE21DC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BE21DC" w:rsidRDefault="00BE21DC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BE21DC" w:rsidRDefault="00BE21DC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BE21DC" w:rsidRPr="00BE21DC" w:rsidRDefault="00BE21DC" w:rsidP="00E64318">
      <w:pPr>
        <w:spacing w:after="0"/>
        <w:ind w:firstLine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E64318" w:rsidRPr="00BE21DC" w:rsidRDefault="00E64318" w:rsidP="00E64318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CB83FB" wp14:editId="37930734">
            <wp:extent cx="5619750" cy="310515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14430" w:rsidRPr="00BE21DC" w:rsidRDefault="00F14430" w:rsidP="006B137D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>Ngarkesa mesatare për çështjet e përfunduara nga prokurorët në vitin 202</w:t>
      </w:r>
      <w:r w:rsidR="00E64318" w:rsidRPr="00BE21DC">
        <w:rPr>
          <w:rFonts w:ascii="Times New Roman" w:hAnsi="Times New Roman"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janë: -më e larta </w:t>
      </w:r>
      <w:r w:rsidR="00E64318" w:rsidRPr="00BE21DC">
        <w:rPr>
          <w:rFonts w:ascii="Times New Roman" w:hAnsi="Times New Roman"/>
          <w:sz w:val="24"/>
          <w:szCs w:val="24"/>
          <w:lang w:val="sq-AL"/>
        </w:rPr>
        <w:t>343</w:t>
      </w:r>
      <w:r w:rsidR="00FC4162" w:rsidRPr="00BE21DC">
        <w:rPr>
          <w:rFonts w:ascii="Times New Roman" w:hAnsi="Times New Roman"/>
          <w:sz w:val="24"/>
          <w:szCs w:val="24"/>
          <w:lang w:val="sq-AL"/>
        </w:rPr>
        <w:t xml:space="preserve"> çështje të përfunduara në p</w:t>
      </w:r>
      <w:r w:rsidRPr="00BE21DC">
        <w:rPr>
          <w:rFonts w:ascii="Times New Roman" w:hAnsi="Times New Roman"/>
          <w:sz w:val="24"/>
          <w:szCs w:val="24"/>
          <w:lang w:val="sq-AL"/>
        </w:rPr>
        <w:t>rokurorinë e rrethit gjyqësor Ku</w:t>
      </w:r>
      <w:r w:rsidR="00E64318" w:rsidRPr="00BE21DC">
        <w:rPr>
          <w:rFonts w:ascii="Times New Roman" w:hAnsi="Times New Roman"/>
          <w:sz w:val="24"/>
          <w:szCs w:val="24"/>
          <w:lang w:val="sq-AL"/>
        </w:rPr>
        <w:t>k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E64318" w:rsidRPr="00BE21DC">
        <w:rPr>
          <w:rFonts w:ascii="Times New Roman" w:hAnsi="Times New Roman"/>
          <w:sz w:val="24"/>
          <w:szCs w:val="24"/>
          <w:lang w:val="sq-AL"/>
        </w:rPr>
        <w:t>s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, dhe -më e ulta </w:t>
      </w:r>
      <w:r w:rsidR="00E64318" w:rsidRPr="00BE21DC">
        <w:rPr>
          <w:rFonts w:ascii="Times New Roman" w:hAnsi="Times New Roman"/>
          <w:sz w:val="24"/>
          <w:szCs w:val="24"/>
          <w:lang w:val="sq-AL"/>
        </w:rPr>
        <w:t>87</w:t>
      </w:r>
      <w:r w:rsidR="00FC4162" w:rsidRPr="00BE21DC">
        <w:rPr>
          <w:rFonts w:ascii="Times New Roman" w:hAnsi="Times New Roman"/>
          <w:sz w:val="24"/>
          <w:szCs w:val="24"/>
          <w:lang w:val="sq-AL"/>
        </w:rPr>
        <w:t xml:space="preserve"> çështje të përfunduara në p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rokurorinë e rrethit gjyqësor </w:t>
      </w:r>
      <w:r w:rsidR="00E64318" w:rsidRPr="00BE21DC">
        <w:rPr>
          <w:rFonts w:ascii="Times New Roman" w:hAnsi="Times New Roman"/>
          <w:sz w:val="24"/>
          <w:szCs w:val="24"/>
          <w:lang w:val="sq-AL"/>
        </w:rPr>
        <w:t>Puk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, rrethana që evidentojnë nevojën për të rivlerësuar numrin faktik të prokurorëve në ato prokurori ku numri mesatar i ngarkesës për prokuror është i lartë dhe me tendencë në rritje të treguesve të procedimeve në ndjekje, me synim unifikimin e ngarkesës së prokurorëve sa më afër nivelit mesatar në të gjitha prokuroritë pranë gjykatave të shkallës së parë </w:t>
      </w:r>
      <w:r w:rsidR="006B137D" w:rsidRPr="00BE21DC">
        <w:rPr>
          <w:rFonts w:ascii="Times New Roman" w:hAnsi="Times New Roman"/>
          <w:sz w:val="24"/>
          <w:szCs w:val="24"/>
          <w:lang w:val="sq-AL"/>
        </w:rPr>
        <w:t>me juridiksion të përgjithshëm.</w:t>
      </w: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>-Në analizë të performancës së prokurorive pranë gjykatave të shkallës së parë, ku evidentohet përqindja që zënë procedimet e regjistruara dhe procedimet e mbartura në volumin e punës, përqindja që zë raporti i procedimeve të përfunduara me procedimet në ndjekje, dhe procedimeve të përfunduara me procedimet e regjistruara, të dhënat janë si vijon:</w:t>
      </w:r>
    </w:p>
    <w:p w:rsidR="00347E20" w:rsidRPr="00BE21DC" w:rsidRDefault="00347E20" w:rsidP="00347E20">
      <w:pPr>
        <w:spacing w:after="0"/>
        <w:ind w:firstLine="360"/>
        <w:jc w:val="both"/>
        <w:rPr>
          <w:rFonts w:ascii="Times New Roman" w:hAnsi="Times New Roman"/>
          <w:lang w:val="sq-AL"/>
        </w:rPr>
      </w:pPr>
    </w:p>
    <w:tbl>
      <w:tblPr>
        <w:tblStyle w:val="ListTable7Colorful1"/>
        <w:tblW w:w="10025" w:type="dxa"/>
        <w:jc w:val="center"/>
        <w:tblLook w:val="04A0" w:firstRow="1" w:lastRow="0" w:firstColumn="1" w:lastColumn="0" w:noHBand="0" w:noVBand="1"/>
      </w:tblPr>
      <w:tblGrid>
        <w:gridCol w:w="1508"/>
        <w:gridCol w:w="1745"/>
        <w:gridCol w:w="1745"/>
        <w:gridCol w:w="1935"/>
        <w:gridCol w:w="1745"/>
        <w:gridCol w:w="1223"/>
        <w:gridCol w:w="124"/>
      </w:tblGrid>
      <w:tr w:rsidR="00347E20" w:rsidRPr="00BE21DC" w:rsidTr="00BD3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1745" w:type="dxa"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Raporti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i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procedimeve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të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regjistruar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në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totalin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e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volumit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Raporti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i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procedimeve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të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mbartura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në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totalin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e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volumit</w:t>
            </w:r>
            <w:proofErr w:type="spellEnd"/>
          </w:p>
        </w:tc>
        <w:tc>
          <w:tcPr>
            <w:tcW w:w="1935" w:type="dxa"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Raporti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i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procedimeve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të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përfunduara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me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procedimet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në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ndjekje</w:t>
            </w:r>
            <w:proofErr w:type="spellEnd"/>
          </w:p>
        </w:tc>
        <w:tc>
          <w:tcPr>
            <w:tcW w:w="1745" w:type="dxa"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Raporti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i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procedimeve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të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përfunduara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me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procedimet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e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regjistruara</w:t>
            </w:r>
            <w:proofErr w:type="spellEnd"/>
          </w:p>
        </w:tc>
        <w:tc>
          <w:tcPr>
            <w:tcW w:w="1347" w:type="dxa"/>
            <w:gridSpan w:val="2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Mesatarja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për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prokuror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çështje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ndjekura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(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numri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faktik</w:t>
            </w:r>
            <w:proofErr w:type="spellEnd"/>
            <w:r w:rsidRPr="00BE21DC">
              <w:rPr>
                <w:rFonts w:ascii="Times New Roman" w:hAnsi="Times New Roman"/>
                <w:b/>
                <w:sz w:val="22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Berat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35%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45%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33%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74%</w:t>
            </w:r>
          </w:p>
        </w:tc>
        <w:tc>
          <w:tcPr>
            <w:tcW w:w="1223" w:type="dxa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888(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Dibër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35%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37%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35%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82%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392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Durrës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41%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29%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55%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95%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286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r w:rsidRPr="00BE21DC">
              <w:rPr>
                <w:rFonts w:ascii="Times New Roman" w:hAnsi="Times New Roman"/>
                <w:b/>
                <w:sz w:val="22"/>
              </w:rPr>
              <w:t>Elbasan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52%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37%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58%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101%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220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Fier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48%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42%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54%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102%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247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Gjirokastër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35%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37%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31%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64%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465 (</w:t>
            </w:r>
            <w:proofErr w:type="spellStart"/>
            <w:r w:rsidRPr="00BE21DC">
              <w:rPr>
                <w:rFonts w:ascii="Times New Roman" w:hAnsi="Times New Roman"/>
              </w:rPr>
              <w:t>ulur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Kavajë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48%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19%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46%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64%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381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Korçë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40%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35%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52%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97%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422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Krujë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45%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41%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50%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96%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307 (</w:t>
            </w:r>
            <w:proofErr w:type="spellStart"/>
            <w:r w:rsidRPr="00BE21DC">
              <w:rPr>
                <w:rFonts w:ascii="Times New Roman" w:hAnsi="Times New Roman"/>
              </w:rPr>
              <w:t>ulur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Kukës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58%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20%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93%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124%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478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Kurbin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47%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21%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64%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100%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483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Lezhë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63%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21%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60%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81%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386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Lushnje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52%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23%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43%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62%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586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r w:rsidRPr="00BE21DC">
              <w:rPr>
                <w:rFonts w:ascii="Times New Roman" w:hAnsi="Times New Roman"/>
                <w:b/>
                <w:sz w:val="22"/>
              </w:rPr>
              <w:t>Mat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59%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97%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117%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143 (</w:t>
            </w:r>
            <w:proofErr w:type="spellStart"/>
            <w:r w:rsidRPr="00BE21DC">
              <w:rPr>
                <w:rFonts w:ascii="Times New Roman" w:hAnsi="Times New Roman"/>
              </w:rPr>
              <w:t>ulur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Përmet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61%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39%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54%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89%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231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Pogradec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53%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28%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51%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77%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323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Pukë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27%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8%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90%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246%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265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Saranda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35%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41%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27%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59%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705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Shkodër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46%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36%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47%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95%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354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Tiranë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50%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23%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63%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95%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352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Tropojë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54%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15%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44%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66%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523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  <w:tr w:rsidR="00347E20" w:rsidRPr="00BE21DC" w:rsidTr="00BD3D5F">
        <w:trPr>
          <w:gridAfter w:val="1"/>
          <w:wAfter w:w="124" w:type="dxa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E21DC">
              <w:rPr>
                <w:rFonts w:ascii="Times New Roman" w:hAnsi="Times New Roman"/>
                <w:b/>
                <w:sz w:val="22"/>
              </w:rPr>
              <w:t>Vlorë</w:t>
            </w:r>
            <w:proofErr w:type="spellEnd"/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44%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15%</w:t>
            </w:r>
          </w:p>
        </w:tc>
        <w:tc>
          <w:tcPr>
            <w:tcW w:w="193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55%</w:t>
            </w:r>
          </w:p>
        </w:tc>
        <w:tc>
          <w:tcPr>
            <w:tcW w:w="1745" w:type="dxa"/>
            <w:noWrap/>
            <w:vAlign w:val="center"/>
            <w:hideMark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93%</w:t>
            </w:r>
          </w:p>
        </w:tc>
        <w:tc>
          <w:tcPr>
            <w:tcW w:w="0" w:type="auto"/>
            <w:vAlign w:val="center"/>
          </w:tcPr>
          <w:p w:rsidR="00347E20" w:rsidRPr="00BE21DC" w:rsidRDefault="00347E20" w:rsidP="00BD3D5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21DC">
              <w:rPr>
                <w:rFonts w:ascii="Times New Roman" w:hAnsi="Times New Roman"/>
              </w:rPr>
              <w:t>393 (</w:t>
            </w:r>
            <w:proofErr w:type="spellStart"/>
            <w:r w:rsidRPr="00BE21DC">
              <w:rPr>
                <w:rFonts w:ascii="Times New Roman" w:hAnsi="Times New Roman"/>
              </w:rPr>
              <w:t>rritur</w:t>
            </w:r>
            <w:proofErr w:type="spellEnd"/>
            <w:r w:rsidRPr="00BE21DC">
              <w:rPr>
                <w:rFonts w:ascii="Times New Roman" w:hAnsi="Times New Roman"/>
              </w:rPr>
              <w:t>)</w:t>
            </w:r>
          </w:p>
        </w:tc>
      </w:tr>
    </w:tbl>
    <w:p w:rsidR="00347E20" w:rsidRPr="00BE21DC" w:rsidRDefault="00347E20" w:rsidP="00347E2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32869" w:rsidRPr="00BE21DC" w:rsidRDefault="00071FE1" w:rsidP="0043286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>-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 xml:space="preserve">Raporti i numrit mesatar të 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>procedimeve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 xml:space="preserve"> të regjistruara 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>dhe procedimeve n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 xml:space="preserve"> ndjekje 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>sipas numrit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 xml:space="preserve"> organik dhe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 xml:space="preserve"> faktik të prokurorëve sipas prokurorive pran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 xml:space="preserve"> gjykatave 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 xml:space="preserve"> shkall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>s s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 xml:space="preserve"> par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 xml:space="preserve"> paraqitet në vijim:</w:t>
      </w:r>
    </w:p>
    <w:p w:rsidR="00432869" w:rsidRPr="00BE21DC" w:rsidRDefault="00432869" w:rsidP="0043286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32869" w:rsidRPr="00BE21DC" w:rsidRDefault="00432869" w:rsidP="00432869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BE21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88399F" wp14:editId="6B175988">
            <wp:extent cx="5788025" cy="2383155"/>
            <wp:effectExtent l="0" t="0" r="0" b="0"/>
            <wp:docPr id="8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32869" w:rsidRPr="00BE21DC" w:rsidRDefault="00432869" w:rsidP="00432869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432869" w:rsidRPr="00BE21DC" w:rsidRDefault="00432869" w:rsidP="00432869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250FB" w:rsidRPr="00BE21DC" w:rsidRDefault="00432869" w:rsidP="001250FB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BE21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D2AF43" wp14:editId="229A9D18">
            <wp:extent cx="5829300" cy="2381250"/>
            <wp:effectExtent l="0" t="0" r="0" b="0"/>
            <wp:docPr id="10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250FB" w:rsidRPr="00BE21DC" w:rsidRDefault="001250FB" w:rsidP="00071FE1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897005" wp14:editId="539B4289">
            <wp:extent cx="5686425" cy="3143250"/>
            <wp:effectExtent l="57150" t="0" r="47625" b="114300"/>
            <wp:docPr id="13" name="Chart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250FB" w:rsidRPr="00BE21DC" w:rsidRDefault="001250FB" w:rsidP="00071FE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6546FFE" wp14:editId="70591E2A">
            <wp:extent cx="5476875" cy="2705100"/>
            <wp:effectExtent l="0" t="0" r="0" b="0"/>
            <wp:docPr id="11" name="Char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250FB" w:rsidRPr="00BE21DC" w:rsidRDefault="001250FB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E3FF6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BE21DC">
        <w:rPr>
          <w:rFonts w:ascii="Times New Roman" w:hAnsi="Times New Roman"/>
          <w:sz w:val="24"/>
          <w:szCs w:val="24"/>
        </w:rPr>
        <w:t>Mesatarja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çështjeve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regjistruara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gjatë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vitit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20</w:t>
      </w:r>
      <w:r w:rsidR="00432869" w:rsidRPr="00BE21DC">
        <w:rPr>
          <w:rFonts w:ascii="Times New Roman" w:hAnsi="Times New Roman"/>
          <w:sz w:val="24"/>
          <w:szCs w:val="24"/>
        </w:rPr>
        <w:t>21</w:t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raport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numrin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faktik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prokurorëve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rrethet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gyqësore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r w:rsidRPr="00BE21DC">
        <w:rPr>
          <w:rFonts w:ascii="Times New Roman" w:hAnsi="Times New Roman"/>
          <w:sz w:val="24"/>
          <w:szCs w:val="24"/>
          <w:lang w:val="sq-AL"/>
        </w:rPr>
        <w:t>28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>34</w:t>
      </w:r>
      <w:r w:rsidRPr="00BE21DC">
        <w:rPr>
          <w:rFonts w:ascii="Times New Roman" w:hAnsi="Times New Roman"/>
          <w:sz w:val="24"/>
          <w:szCs w:val="24"/>
          <w:lang w:val="sq-AL"/>
        </w:rPr>
        <w:t>9/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>177</w:t>
      </w:r>
      <w:r w:rsidRPr="00BE21DC">
        <w:rPr>
          <w:rFonts w:ascii="Times New Roman" w:hAnsi="Times New Roman"/>
          <w:sz w:val="24"/>
          <w:szCs w:val="24"/>
          <w:lang w:val="sq-AL"/>
        </w:rPr>
        <w:t>, rezulton të jetë në rang vendi 1</w:t>
      </w:r>
      <w:r w:rsidR="00432869" w:rsidRPr="00BE21DC">
        <w:rPr>
          <w:rFonts w:ascii="Times New Roman" w:hAnsi="Times New Roman"/>
          <w:sz w:val="24"/>
          <w:szCs w:val="24"/>
          <w:lang w:val="sq-AL"/>
        </w:rPr>
        <w:t>60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procedime penale për prokuror. Ky duhe</w:t>
      </w:r>
      <w:r w:rsidR="00801E00" w:rsidRPr="00BE21DC">
        <w:rPr>
          <w:rFonts w:ascii="Times New Roman" w:hAnsi="Times New Roman"/>
          <w:sz w:val="24"/>
          <w:szCs w:val="24"/>
          <w:lang w:val="sq-AL"/>
        </w:rPr>
        <w:t>t të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ishte treguesi 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bazuar n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 xml:space="preserve"> cilin </w:t>
      </w:r>
      <w:r w:rsidRPr="00BE21DC">
        <w:rPr>
          <w:rFonts w:ascii="Times New Roman" w:hAnsi="Times New Roman"/>
          <w:sz w:val="24"/>
          <w:szCs w:val="24"/>
          <w:lang w:val="sq-AL"/>
        </w:rPr>
        <w:t>do të duhej të ishte edhe shpërndarja e balancuar e numrit të prokurorëve në rang vendi. Por</w:t>
      </w:r>
      <w:r w:rsidR="00801E00" w:rsidRPr="00BE21DC">
        <w:rPr>
          <w:rFonts w:ascii="Times New Roman" w:hAnsi="Times New Roman"/>
          <w:sz w:val="24"/>
          <w:szCs w:val="24"/>
          <w:lang w:val="sq-AL"/>
        </w:rPr>
        <w:t>,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nga të dhënat rezulton se rreth kësaj mesatare afrohen prokuroritë në rrethet Shkodër, 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Vlor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, Gjirokast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r, Korç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, P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rmet e Kruj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sz w:val="24"/>
          <w:szCs w:val="24"/>
          <w:lang w:val="sq-AL"/>
        </w:rPr>
        <w:t>, ku mesatarja e regjistrimeve të reja varion nga 14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në 1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71 procedime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.  Kanë një raport ndjeshëm të disfavorshëm 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prokurorit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në rrethet Kurbin, 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Lezh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, Kuk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s, Tropoj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, Lushnje e Berat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ku shifrat variojnë nga 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227</w:t>
      </w:r>
      <w:r w:rsidRPr="00BE21DC">
        <w:rPr>
          <w:rFonts w:ascii="Times New Roman" w:hAnsi="Times New Roman"/>
          <w:sz w:val="24"/>
          <w:szCs w:val="24"/>
          <w:lang w:val="sq-AL"/>
        </w:rPr>
        <w:t>-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314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, ndërsa rezultojnë me një mesatare të ulët rrethet 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Durr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 xml:space="preserve">s, Elbasan, Mat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dhe Pukë, ku mesatarja varion nga 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118</w:t>
      </w:r>
      <w:r w:rsidRPr="00BE21DC">
        <w:rPr>
          <w:rFonts w:ascii="Times New Roman" w:hAnsi="Times New Roman"/>
          <w:sz w:val="24"/>
          <w:szCs w:val="24"/>
          <w:lang w:val="sq-AL"/>
        </w:rPr>
        <w:t>-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36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procedime penale. </w:t>
      </w: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 xml:space="preserve">Përtej kësaj shifre, nisur nga probleme të akumuluara në vitet e kaluara, nëse do të llogarisim ngarkesën faktike duke shtuar procedimet e mbartuara, situata rezulton shumë e  rënduar në rrethet Berat, 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 xml:space="preserve">Sarandë, </w:t>
      </w:r>
      <w:r w:rsidR="001E49C7" w:rsidRPr="00BE21DC">
        <w:rPr>
          <w:rFonts w:ascii="Times New Roman" w:hAnsi="Times New Roman"/>
          <w:sz w:val="24"/>
          <w:szCs w:val="24"/>
          <w:lang w:val="sq-AL"/>
        </w:rPr>
        <w:t>Lushnje, Tropoj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 xml:space="preserve">Kurbin, 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>Kuk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 xml:space="preserve">s, 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>Gjirokast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 xml:space="preserve">r, 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>Korç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>, Vlor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>, Dib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1250FB" w:rsidRPr="00BE21DC">
        <w:rPr>
          <w:rFonts w:ascii="Times New Roman" w:hAnsi="Times New Roman"/>
          <w:sz w:val="24"/>
          <w:szCs w:val="24"/>
          <w:lang w:val="sq-AL"/>
        </w:rPr>
        <w:t>r, Lezh</w:t>
      </w:r>
      <w:r w:rsidR="00347E20" w:rsidRPr="00BE21DC">
        <w:rPr>
          <w:rFonts w:ascii="Times New Roman" w:hAnsi="Times New Roman"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me një mesatare të ngarkesës nga 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>392-</w:t>
      </w:r>
      <w:r w:rsidRPr="00BE21DC">
        <w:rPr>
          <w:rFonts w:ascii="Times New Roman" w:hAnsi="Times New Roman"/>
          <w:sz w:val="24"/>
          <w:szCs w:val="24"/>
          <w:lang w:val="sq-AL"/>
        </w:rPr>
        <w:t>8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>88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procedime për çdo prokuror. Ngarkesa më e ulët mbetet në rrethet Pukë, 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 xml:space="preserve">Fier,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Përmet, 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>Elbasan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>Mat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, ku varion nga 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>2</w:t>
      </w:r>
      <w:r w:rsidRPr="00BE21DC">
        <w:rPr>
          <w:rFonts w:ascii="Times New Roman" w:hAnsi="Times New Roman"/>
          <w:sz w:val="24"/>
          <w:szCs w:val="24"/>
          <w:lang w:val="sq-AL"/>
        </w:rPr>
        <w:t>8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>6</w:t>
      </w:r>
      <w:r w:rsidRPr="00BE21DC">
        <w:rPr>
          <w:rFonts w:ascii="Times New Roman" w:hAnsi="Times New Roman"/>
          <w:sz w:val="24"/>
          <w:szCs w:val="24"/>
          <w:lang w:val="sq-AL"/>
        </w:rPr>
        <w:t>-1</w:t>
      </w:r>
      <w:r w:rsidR="002E3FF6" w:rsidRPr="00BE21DC">
        <w:rPr>
          <w:rFonts w:ascii="Times New Roman" w:hAnsi="Times New Roman"/>
          <w:sz w:val="24"/>
          <w:szCs w:val="24"/>
          <w:lang w:val="sq-AL"/>
        </w:rPr>
        <w:t>43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 procedime. </w:t>
      </w:r>
    </w:p>
    <w:p w:rsidR="00351CDF" w:rsidRPr="00BE21DC" w:rsidRDefault="00351CDF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E21DC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Veprimtaria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prokurorive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apelit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juridiksion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përgjithshëm</w:t>
      </w:r>
      <w:proofErr w:type="spellEnd"/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lang w:val="sq-AL"/>
        </w:rPr>
      </w:pP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b/>
          <w:i/>
          <w:lang w:val="sq-AL"/>
        </w:rPr>
      </w:pPr>
      <w:r w:rsidRPr="00BE21DC">
        <w:rPr>
          <w:rFonts w:ascii="Times New Roman" w:hAnsi="Times New Roman" w:cs="Times New Roman"/>
          <w:b/>
          <w:i/>
          <w:lang w:val="sq-AL"/>
        </w:rPr>
        <w:t>i</w:t>
      </w:r>
      <w:r w:rsidR="00F17277" w:rsidRPr="00BE21DC">
        <w:rPr>
          <w:rFonts w:ascii="Times New Roman" w:hAnsi="Times New Roman" w:cs="Times New Roman"/>
          <w:b/>
          <w:i/>
          <w:lang w:val="sq-AL"/>
        </w:rPr>
        <w:t>)</w:t>
      </w:r>
      <w:r w:rsidR="002E3FF6" w:rsidRPr="00BE21DC">
        <w:rPr>
          <w:rFonts w:ascii="Times New Roman" w:hAnsi="Times New Roman" w:cs="Times New Roman"/>
          <w:b/>
          <w:i/>
          <w:lang w:val="sq-AL"/>
        </w:rPr>
        <w:t xml:space="preserve"> Performanca e prokurorive pranë gjykatave të apeleve</w:t>
      </w:r>
      <w:r w:rsidRPr="00BE21DC">
        <w:rPr>
          <w:rFonts w:ascii="Times New Roman" w:hAnsi="Times New Roman" w:cs="Times New Roman"/>
          <w:b/>
          <w:i/>
          <w:lang w:val="sq-AL"/>
        </w:rPr>
        <w:t xml:space="preserve"> </w:t>
      </w: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lang w:val="sq-AL"/>
        </w:rPr>
      </w:pPr>
    </w:p>
    <w:p w:rsidR="00F14430" w:rsidRPr="00BE21DC" w:rsidRDefault="00F14430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b/>
          <w:i/>
          <w:lang w:val="sq-AL"/>
        </w:rPr>
      </w:pPr>
      <w:r w:rsidRPr="00BE21DC">
        <w:rPr>
          <w:rFonts w:ascii="Times New Roman" w:hAnsi="Times New Roman" w:cs="Times New Roman"/>
          <w:b/>
          <w:i/>
          <w:lang w:val="sq-AL"/>
        </w:rPr>
        <w:t>- Procedime të regjistruara/procedime të përfunduara (Niveli i efikasitetit).</w:t>
      </w:r>
    </w:p>
    <w:p w:rsidR="00F14430" w:rsidRPr="00BE21DC" w:rsidRDefault="00FC4162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lang w:val="sq-AL"/>
        </w:rPr>
      </w:pPr>
      <w:r w:rsidRPr="00BE21DC">
        <w:rPr>
          <w:rFonts w:ascii="Times New Roman" w:hAnsi="Times New Roman" w:cs="Times New Roman"/>
          <w:lang w:val="sq-AL"/>
        </w:rPr>
        <w:t>Në kuadrin e vlerësimi të pe</w:t>
      </w:r>
      <w:r w:rsidR="00F14430" w:rsidRPr="00BE21DC">
        <w:rPr>
          <w:rFonts w:ascii="Times New Roman" w:hAnsi="Times New Roman" w:cs="Times New Roman"/>
          <w:lang w:val="sq-AL"/>
        </w:rPr>
        <w:t>rformancës së prokurorive të apelit, treguesi “gjithsejt çështje themeli dhe masa sigurimi” që evidenton çështjet e themelit dhe masat e sigurimit të regjistruara përgjatë vitit 202</w:t>
      </w:r>
      <w:r w:rsidR="00DB09AA" w:rsidRPr="00BE21DC">
        <w:rPr>
          <w:rFonts w:ascii="Times New Roman" w:hAnsi="Times New Roman" w:cs="Times New Roman"/>
          <w:lang w:val="sq-AL"/>
        </w:rPr>
        <w:t>1</w:t>
      </w:r>
      <w:r w:rsidR="00F14430" w:rsidRPr="00BE21DC">
        <w:rPr>
          <w:rFonts w:ascii="Times New Roman" w:hAnsi="Times New Roman" w:cs="Times New Roman"/>
          <w:lang w:val="sq-AL"/>
        </w:rPr>
        <w:t xml:space="preserve"> sipas prokurorive të apeleve, dhe  treguesi “gjithsejt kërkesa për themel dhe masa” që evidenton numrin e çështjeve që prokurorët e apelit kanë përfunduar në gjykatën e apelit, janë paraqitur në tabelen më poshtë. </w:t>
      </w:r>
    </w:p>
    <w:p w:rsidR="00F17277" w:rsidRPr="00BE21DC" w:rsidRDefault="00F17277" w:rsidP="00F14430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lang w:val="sq-AL"/>
        </w:rPr>
      </w:pP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 xml:space="preserve">Raporti në përqindje i procedimeve të përfunduara me çështjet e regjistruara në secilën prokurori apeli për vitin 2021, evidenton treguesit, -nga performanca më e ulën 82,9% në Prokurorinë e Apelit Durrës, deri në performancën më të lartë 105,4 % në Prokurorinë e Apelit Tiranë. Ky raport evidenton dhe efikasitetin e punës të secilës prokurori apeli brenda vitit 2021, ku pasqyrohet gatishmëria dhe mundësia e secilës prokurori për të përfunduar brenda vitit procedimet e regjistruara. </w:t>
      </w:r>
    </w:p>
    <w:p w:rsidR="00F17277" w:rsidRPr="00BE21DC" w:rsidRDefault="00F17277" w:rsidP="00F17277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lang w:val="sq-AL"/>
        </w:rPr>
      </w:pPr>
    </w:p>
    <w:p w:rsidR="00F17277" w:rsidRPr="00BE21DC" w:rsidRDefault="00F17277" w:rsidP="00F17277">
      <w:pPr>
        <w:pStyle w:val="Default"/>
        <w:spacing w:line="276" w:lineRule="auto"/>
        <w:ind w:left="-6" w:firstLine="366"/>
        <w:jc w:val="both"/>
        <w:rPr>
          <w:rFonts w:ascii="Times New Roman" w:hAnsi="Times New Roman" w:cs="Times New Roman"/>
          <w:lang w:val="sq-AL"/>
        </w:rPr>
      </w:pPr>
    </w:p>
    <w:tbl>
      <w:tblPr>
        <w:tblStyle w:val="PlainTable51"/>
        <w:tblW w:w="9212" w:type="dxa"/>
        <w:tblLook w:val="04A0" w:firstRow="1" w:lastRow="0" w:firstColumn="1" w:lastColumn="0" w:noHBand="0" w:noVBand="1"/>
      </w:tblPr>
      <w:tblGrid>
        <w:gridCol w:w="3667"/>
        <w:gridCol w:w="1831"/>
        <w:gridCol w:w="2170"/>
        <w:gridCol w:w="1544"/>
      </w:tblGrid>
      <w:tr w:rsidR="00F17277" w:rsidRPr="00BE21DC" w:rsidTr="00914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67" w:type="dxa"/>
            <w:noWrap/>
            <w:hideMark/>
          </w:tcPr>
          <w:p w:rsidR="00F17277" w:rsidRPr="00BE21DC" w:rsidRDefault="00F17277" w:rsidP="009148D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2021</w:t>
            </w:r>
          </w:p>
        </w:tc>
        <w:tc>
          <w:tcPr>
            <w:tcW w:w="1831" w:type="dxa"/>
            <w:hideMark/>
          </w:tcPr>
          <w:p w:rsidR="00F17277" w:rsidRPr="00BE21DC" w:rsidRDefault="00F17277" w:rsidP="009148D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Gjithsej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çështje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themeli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dhe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masa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sigurimi</w:t>
            </w:r>
            <w:proofErr w:type="spellEnd"/>
          </w:p>
        </w:tc>
        <w:tc>
          <w:tcPr>
            <w:tcW w:w="2170" w:type="dxa"/>
            <w:hideMark/>
          </w:tcPr>
          <w:p w:rsidR="00F17277" w:rsidRPr="00BE21DC" w:rsidRDefault="00F17277" w:rsidP="009148D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Gjithsej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kerkesa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për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themel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dhe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masa (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përfshi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mospranim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ankimi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44" w:type="dxa"/>
            <w:noWrap/>
            <w:hideMark/>
          </w:tcPr>
          <w:p w:rsidR="00F17277" w:rsidRPr="00BE21DC" w:rsidRDefault="00F17277" w:rsidP="009148D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  <w:t>Raporti</w:t>
            </w:r>
            <w:proofErr w:type="spellEnd"/>
          </w:p>
          <w:p w:rsidR="00F17277" w:rsidRPr="00BE21DC" w:rsidRDefault="00F17277" w:rsidP="009148D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/>
                <w:sz w:val="22"/>
                <w:lang w:eastAsia="en-GB"/>
              </w:rPr>
            </w:pPr>
          </w:p>
        </w:tc>
      </w:tr>
      <w:tr w:rsidR="00F17277" w:rsidRPr="00BE21DC" w:rsidTr="00914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</w:tcPr>
          <w:p w:rsidR="00F17277" w:rsidRPr="00BE21DC" w:rsidRDefault="00F17277" w:rsidP="009148DE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Tiranë</w:t>
            </w:r>
            <w:proofErr w:type="spellEnd"/>
          </w:p>
        </w:tc>
        <w:tc>
          <w:tcPr>
            <w:tcW w:w="1831" w:type="dxa"/>
            <w:noWrap/>
            <w:vAlign w:val="center"/>
          </w:tcPr>
          <w:p w:rsidR="00F17277" w:rsidRPr="00BE21DC" w:rsidRDefault="00F17277" w:rsidP="009148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1498</w:t>
            </w:r>
          </w:p>
        </w:tc>
        <w:tc>
          <w:tcPr>
            <w:tcW w:w="2170" w:type="dxa"/>
            <w:noWrap/>
            <w:vAlign w:val="center"/>
          </w:tcPr>
          <w:p w:rsidR="00F17277" w:rsidRPr="00BE21DC" w:rsidRDefault="00F17277" w:rsidP="009148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1579</w:t>
            </w:r>
          </w:p>
        </w:tc>
        <w:tc>
          <w:tcPr>
            <w:tcW w:w="1544" w:type="dxa"/>
            <w:noWrap/>
            <w:vAlign w:val="center"/>
          </w:tcPr>
          <w:p w:rsidR="00F17277" w:rsidRPr="00BE21DC" w:rsidRDefault="00F17277" w:rsidP="009148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105,4%</w:t>
            </w:r>
          </w:p>
        </w:tc>
      </w:tr>
      <w:tr w:rsidR="00F17277" w:rsidRPr="00BE21DC" w:rsidTr="009148DE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</w:tcPr>
          <w:p w:rsidR="00F17277" w:rsidRPr="00BE21DC" w:rsidRDefault="00F17277" w:rsidP="009148DE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Durrës</w:t>
            </w:r>
            <w:proofErr w:type="spellEnd"/>
          </w:p>
        </w:tc>
        <w:tc>
          <w:tcPr>
            <w:tcW w:w="1831" w:type="dxa"/>
            <w:noWrap/>
            <w:vAlign w:val="center"/>
          </w:tcPr>
          <w:p w:rsidR="00F17277" w:rsidRPr="00BE21DC" w:rsidRDefault="00F17277" w:rsidP="009148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696</w:t>
            </w:r>
          </w:p>
        </w:tc>
        <w:tc>
          <w:tcPr>
            <w:tcW w:w="2170" w:type="dxa"/>
            <w:noWrap/>
            <w:vAlign w:val="center"/>
          </w:tcPr>
          <w:p w:rsidR="00F17277" w:rsidRPr="00BE21DC" w:rsidRDefault="00F17277" w:rsidP="009148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577</w:t>
            </w:r>
          </w:p>
        </w:tc>
        <w:tc>
          <w:tcPr>
            <w:tcW w:w="1544" w:type="dxa"/>
            <w:noWrap/>
            <w:vAlign w:val="center"/>
          </w:tcPr>
          <w:p w:rsidR="00F17277" w:rsidRPr="00BE21DC" w:rsidRDefault="00F17277" w:rsidP="009148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82,9%</w:t>
            </w:r>
          </w:p>
        </w:tc>
      </w:tr>
      <w:tr w:rsidR="00F17277" w:rsidRPr="00BE21DC" w:rsidTr="00914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  <w:hideMark/>
          </w:tcPr>
          <w:p w:rsidR="00F17277" w:rsidRPr="00BE21DC" w:rsidRDefault="00F17277" w:rsidP="009148DE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Korçë</w:t>
            </w:r>
            <w:proofErr w:type="spellEnd"/>
          </w:p>
        </w:tc>
        <w:tc>
          <w:tcPr>
            <w:tcW w:w="1831" w:type="dxa"/>
            <w:noWrap/>
            <w:vAlign w:val="center"/>
          </w:tcPr>
          <w:p w:rsidR="00F17277" w:rsidRPr="00BE21DC" w:rsidRDefault="00F17277" w:rsidP="009148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338</w:t>
            </w:r>
          </w:p>
        </w:tc>
        <w:tc>
          <w:tcPr>
            <w:tcW w:w="2170" w:type="dxa"/>
            <w:noWrap/>
            <w:vAlign w:val="center"/>
            <w:hideMark/>
          </w:tcPr>
          <w:p w:rsidR="00F17277" w:rsidRPr="00BE21DC" w:rsidRDefault="00F17277" w:rsidP="009148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348</w:t>
            </w:r>
          </w:p>
        </w:tc>
        <w:tc>
          <w:tcPr>
            <w:tcW w:w="1544" w:type="dxa"/>
            <w:noWrap/>
            <w:vAlign w:val="center"/>
            <w:hideMark/>
          </w:tcPr>
          <w:p w:rsidR="00F17277" w:rsidRPr="00BE21DC" w:rsidRDefault="00F17277" w:rsidP="009148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102,95%</w:t>
            </w:r>
          </w:p>
        </w:tc>
      </w:tr>
      <w:tr w:rsidR="00F17277" w:rsidRPr="00BE21DC" w:rsidTr="009148DE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  <w:hideMark/>
          </w:tcPr>
          <w:p w:rsidR="00F17277" w:rsidRPr="00BE21DC" w:rsidRDefault="00F17277" w:rsidP="009148DE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Shkodër</w:t>
            </w:r>
            <w:proofErr w:type="spellEnd"/>
          </w:p>
        </w:tc>
        <w:tc>
          <w:tcPr>
            <w:tcW w:w="1831" w:type="dxa"/>
            <w:noWrap/>
            <w:vAlign w:val="center"/>
          </w:tcPr>
          <w:p w:rsidR="00F17277" w:rsidRPr="00BE21DC" w:rsidRDefault="00F17277" w:rsidP="009148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648</w:t>
            </w:r>
          </w:p>
        </w:tc>
        <w:tc>
          <w:tcPr>
            <w:tcW w:w="2170" w:type="dxa"/>
            <w:noWrap/>
            <w:vAlign w:val="center"/>
            <w:hideMark/>
          </w:tcPr>
          <w:p w:rsidR="00F17277" w:rsidRPr="00BE21DC" w:rsidRDefault="00F17277" w:rsidP="009148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648</w:t>
            </w:r>
          </w:p>
        </w:tc>
        <w:tc>
          <w:tcPr>
            <w:tcW w:w="1544" w:type="dxa"/>
            <w:noWrap/>
            <w:vAlign w:val="center"/>
            <w:hideMark/>
          </w:tcPr>
          <w:p w:rsidR="00F17277" w:rsidRPr="00BE21DC" w:rsidRDefault="00F17277" w:rsidP="009148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100%</w:t>
            </w:r>
          </w:p>
        </w:tc>
      </w:tr>
      <w:tr w:rsidR="00F17277" w:rsidRPr="00BE21DC" w:rsidTr="00914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  <w:hideMark/>
          </w:tcPr>
          <w:p w:rsidR="00F17277" w:rsidRPr="00BE21DC" w:rsidRDefault="00F17277" w:rsidP="009148DE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Vlorë</w:t>
            </w:r>
            <w:proofErr w:type="spellEnd"/>
          </w:p>
        </w:tc>
        <w:tc>
          <w:tcPr>
            <w:tcW w:w="1831" w:type="dxa"/>
            <w:noWrap/>
            <w:vAlign w:val="center"/>
          </w:tcPr>
          <w:p w:rsidR="00F17277" w:rsidRPr="00BE21DC" w:rsidRDefault="00F17277" w:rsidP="009148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820</w:t>
            </w:r>
          </w:p>
        </w:tc>
        <w:tc>
          <w:tcPr>
            <w:tcW w:w="2170" w:type="dxa"/>
            <w:noWrap/>
            <w:vAlign w:val="center"/>
            <w:hideMark/>
          </w:tcPr>
          <w:p w:rsidR="00F17277" w:rsidRPr="00BE21DC" w:rsidRDefault="00F17277" w:rsidP="009148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815</w:t>
            </w:r>
          </w:p>
        </w:tc>
        <w:tc>
          <w:tcPr>
            <w:tcW w:w="1544" w:type="dxa"/>
            <w:noWrap/>
            <w:vAlign w:val="center"/>
            <w:hideMark/>
          </w:tcPr>
          <w:p w:rsidR="00F17277" w:rsidRPr="00BE21DC" w:rsidRDefault="00F17277" w:rsidP="009148D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99.4%</w:t>
            </w:r>
          </w:p>
        </w:tc>
      </w:tr>
      <w:tr w:rsidR="00F17277" w:rsidRPr="00BE21DC" w:rsidTr="009148DE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noWrap/>
            <w:hideMark/>
          </w:tcPr>
          <w:p w:rsidR="00F17277" w:rsidRPr="00BE21DC" w:rsidRDefault="00F17277" w:rsidP="009148DE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2"/>
                <w:lang w:eastAsia="en-GB"/>
              </w:rPr>
              <w:t>Gjirokastër</w:t>
            </w:r>
            <w:proofErr w:type="spellEnd"/>
          </w:p>
        </w:tc>
        <w:tc>
          <w:tcPr>
            <w:tcW w:w="1831" w:type="dxa"/>
            <w:noWrap/>
            <w:vAlign w:val="center"/>
          </w:tcPr>
          <w:p w:rsidR="00F17277" w:rsidRPr="00BE21DC" w:rsidRDefault="00F17277" w:rsidP="009148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265</w:t>
            </w:r>
          </w:p>
        </w:tc>
        <w:tc>
          <w:tcPr>
            <w:tcW w:w="2170" w:type="dxa"/>
            <w:noWrap/>
            <w:vAlign w:val="center"/>
            <w:hideMark/>
          </w:tcPr>
          <w:p w:rsidR="00F17277" w:rsidRPr="00BE21DC" w:rsidRDefault="00F17277" w:rsidP="009148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267</w:t>
            </w:r>
          </w:p>
        </w:tc>
        <w:tc>
          <w:tcPr>
            <w:tcW w:w="1544" w:type="dxa"/>
            <w:noWrap/>
            <w:vAlign w:val="center"/>
            <w:hideMark/>
          </w:tcPr>
          <w:p w:rsidR="00F17277" w:rsidRPr="00BE21DC" w:rsidRDefault="00F17277" w:rsidP="009148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color w:val="000000"/>
                <w:lang w:eastAsia="en-GB"/>
              </w:rPr>
              <w:t>100,75%</w:t>
            </w:r>
          </w:p>
        </w:tc>
      </w:tr>
    </w:tbl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 xml:space="preserve">Në këtë vështrim, sipas tabelës më sipër, vihen re përqindjet e efikasitetit, siç janë, kur vlera është më e vogës se 100% tregon se prokuroria e apelit nuk ka arritur të përfundojnë të gjitha çështjet e regjistruara, kur vlera është 100% tregon se prokuroria e apelit ka qenë plotësisht efikase në përfundimin e çështjeve, dhe kur vlera është më e lartë se 100% tregon se prokuroria ka arritur të përfundojë më shumë procedime se sa ka regjistruar, duke ulur dhe numrin e procedimeve të mbartura nga viti paraardhës, siç janë Prokuroritë e Apeleve Tiranë e Korçë. </w:t>
      </w: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i/>
          <w:sz w:val="24"/>
          <w:szCs w:val="24"/>
          <w:lang w:val="sq-AL"/>
        </w:rPr>
        <w:t>-</w:t>
      </w:r>
      <w:r w:rsidR="00052A8E" w:rsidRPr="00BE21DC">
        <w:rPr>
          <w:rFonts w:ascii="Times New Roman" w:hAnsi="Times New Roman"/>
          <w:b/>
          <w:i/>
          <w:sz w:val="24"/>
          <w:szCs w:val="24"/>
          <w:lang w:val="sq-AL"/>
        </w:rPr>
        <w:t xml:space="preserve"> </w:t>
      </w:r>
      <w:r w:rsidRPr="00BE21DC">
        <w:rPr>
          <w:rFonts w:ascii="Times New Roman" w:hAnsi="Times New Roman"/>
          <w:b/>
          <w:i/>
          <w:sz w:val="24"/>
          <w:szCs w:val="24"/>
          <w:lang w:val="sq-AL"/>
        </w:rPr>
        <w:t xml:space="preserve">Ngarkesa e prokurorëve të apeleve. </w:t>
      </w:r>
    </w:p>
    <w:p w:rsidR="00F17277" w:rsidRPr="00BE21DC" w:rsidRDefault="00F17277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>Kjo ngarkesë përfaqëson numrin mesatar të procedimeve/çështjeve të përfunduara nga një prokuror në apel brenda vitit, e përllogaritur me numrin e procedimeve/çështjeve të ndjekura (mbartura dhe procedimeve të regjistruara) gjatë vitit 2021</w:t>
      </w:r>
      <w:r w:rsidR="00AA26B4" w:rsidRPr="00BE21D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E21DC">
        <w:rPr>
          <w:rFonts w:ascii="Times New Roman" w:hAnsi="Times New Roman"/>
          <w:sz w:val="24"/>
          <w:szCs w:val="24"/>
          <w:lang w:val="sq-AL"/>
        </w:rPr>
        <w:t xml:space="preserve">në raport me numrin e prokurorëve të angazhuar gjatë këtij viti, evidenton se mesatara e çështjeve të përfunduara për çdo prokuror në apel sipas numrit faktik të prokurorëve është sipas prokurorive në paraqitjen grafike si më poshtë: </w:t>
      </w: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E7289F" wp14:editId="300E1CE0">
            <wp:extent cx="5731510" cy="2779200"/>
            <wp:effectExtent l="0" t="0" r="2540" b="25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17277" w:rsidRPr="00BE21DC" w:rsidRDefault="00F17277" w:rsidP="00F1727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>Kjo paraqitja grafike evidenton se ngarkesa mesatare për çështjet e përfunduara nga prokurorët e apelit në vitin 2021, më e larta prej 350 çështje të përfunduara në Prokurorinë e Apelit Shkodër dhe më e ulta me prej 144 çështje të përfunduara në Prokurorinë e Apelit Durrës, rrethana që evidentojnë nevojën për të rivlerësuar numrin faktik të prokurorëve në ato prokurori ku numri mesatar i ngarkesës për prokuror është i lartë dhe me tendencë në rritje të treguesve të procedimeve në ndjekje, me synim unifikimin e ngarkesës së prokurorëve të apelit sa më afër me nivelin e ngarkesës mesatare në të gjitha prokuroritë pranë gjykatave të apeleve me juridiksion të përgjithshëm.</w:t>
      </w: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21DC">
        <w:rPr>
          <w:rFonts w:ascii="Times New Roman" w:hAnsi="Times New Roman"/>
          <w:sz w:val="24"/>
          <w:szCs w:val="24"/>
        </w:rPr>
        <w:t>Veç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sipër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referu</w:t>
      </w:r>
      <w:r w:rsidR="00FC4162" w:rsidRPr="00BE21DC">
        <w:rPr>
          <w:rFonts w:ascii="Times New Roman" w:hAnsi="Times New Roman"/>
          <w:sz w:val="24"/>
          <w:szCs w:val="24"/>
        </w:rPr>
        <w:t>ar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disa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treguesve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tjerë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pe</w:t>
      </w:r>
      <w:r w:rsidRPr="00BE21DC">
        <w:rPr>
          <w:rFonts w:ascii="Times New Roman" w:hAnsi="Times New Roman"/>
          <w:sz w:val="24"/>
          <w:szCs w:val="24"/>
        </w:rPr>
        <w:t>rformancës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apeleve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gjatë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vitit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2021, </w:t>
      </w:r>
      <w:proofErr w:type="spellStart"/>
      <w:r w:rsidRPr="00BE21DC">
        <w:rPr>
          <w:rFonts w:ascii="Times New Roman" w:hAnsi="Times New Roman"/>
          <w:sz w:val="24"/>
          <w:szCs w:val="24"/>
        </w:rPr>
        <w:t>evidentohet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prokurorët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apelit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: </w:t>
      </w: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Pr="00BE21DC">
        <w:rPr>
          <w:rFonts w:ascii="Times New Roman" w:hAnsi="Times New Roman"/>
          <w:sz w:val="24"/>
          <w:szCs w:val="24"/>
        </w:rPr>
        <w:t>kanë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hequr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dorë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48,34 %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ankimeve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shkallës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parë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çështje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themeli</w:t>
      </w:r>
      <w:proofErr w:type="spellEnd"/>
      <w:r w:rsidRPr="00BE21DC">
        <w:rPr>
          <w:rFonts w:ascii="Times New Roman" w:hAnsi="Times New Roman"/>
          <w:sz w:val="24"/>
          <w:szCs w:val="24"/>
        </w:rPr>
        <w:t>;</w:t>
      </w: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Pr="00BE21DC">
        <w:rPr>
          <w:rFonts w:ascii="Times New Roman" w:hAnsi="Times New Roman"/>
          <w:sz w:val="24"/>
          <w:szCs w:val="24"/>
        </w:rPr>
        <w:t>kanë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kërkuar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4,21 %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kërkesave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lehtësim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pozitës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pandehurit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14,8 %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rasteve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gjykata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vendosur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lënie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fuqi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vendimit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); </w:t>
      </w: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Pr="00BE21DC">
        <w:rPr>
          <w:rFonts w:ascii="Times New Roman" w:hAnsi="Times New Roman"/>
          <w:sz w:val="24"/>
          <w:szCs w:val="24"/>
        </w:rPr>
        <w:t>kanë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kërkuar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1,01 %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kërkesave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prishjen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vendimit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vendosjen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pushimit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ose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pafajësi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30,77 %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rasteve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gjykata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vendosur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lënie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fuqi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vendimit</w:t>
      </w:r>
      <w:proofErr w:type="spellEnd"/>
      <w:r w:rsidRPr="00BE21DC">
        <w:rPr>
          <w:rFonts w:ascii="Times New Roman" w:hAnsi="Times New Roman"/>
          <w:sz w:val="24"/>
          <w:szCs w:val="24"/>
        </w:rPr>
        <w:t>);</w:t>
      </w: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Pr="00BE21DC">
        <w:rPr>
          <w:rFonts w:ascii="Times New Roman" w:hAnsi="Times New Roman"/>
          <w:sz w:val="24"/>
          <w:szCs w:val="24"/>
        </w:rPr>
        <w:t>kanë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kërkuar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2,02 %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kërkesave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prishjen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vendimit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kthimi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akteve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42,3 %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rasteve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gjykata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vendosur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lënie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fuqi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vendimit</w:t>
      </w:r>
      <w:proofErr w:type="spellEnd"/>
      <w:r w:rsidRPr="00BE21DC">
        <w:rPr>
          <w:rFonts w:ascii="Times New Roman" w:hAnsi="Times New Roman"/>
          <w:sz w:val="24"/>
          <w:szCs w:val="24"/>
        </w:rPr>
        <w:t>);</w:t>
      </w:r>
    </w:p>
    <w:p w:rsidR="00F17277" w:rsidRPr="00BE21DC" w:rsidRDefault="00F17277" w:rsidP="00F17277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Pr="00BE21DC">
        <w:rPr>
          <w:rFonts w:ascii="Times New Roman" w:hAnsi="Times New Roman"/>
          <w:sz w:val="24"/>
          <w:szCs w:val="24"/>
        </w:rPr>
        <w:t>gjykata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mbështetur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kërkesën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apelit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lënie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fuqi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vendimit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shkallës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parë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75,1 %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rasteve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kërkesën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rëndimin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pozitës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pandehurit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21,57 %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rasteve</w:t>
      </w:r>
      <w:proofErr w:type="spellEnd"/>
      <w:r w:rsidRPr="00BE21DC">
        <w:rPr>
          <w:rFonts w:ascii="Times New Roman" w:hAnsi="Times New Roman"/>
          <w:sz w:val="24"/>
          <w:szCs w:val="24"/>
        </w:rPr>
        <w:t>.</w:t>
      </w: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101C76" w:rsidRPr="00BE21DC" w:rsidRDefault="00101C76" w:rsidP="00101C7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E21DC">
        <w:rPr>
          <w:rFonts w:ascii="Times New Roman" w:hAnsi="Times New Roman"/>
          <w:sz w:val="24"/>
          <w:szCs w:val="24"/>
        </w:rPr>
        <w:t>Gjithashtu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evidentohen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edhe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elem</w:t>
      </w:r>
      <w:r w:rsidR="00FC4162" w:rsidRPr="00BE21DC">
        <w:rPr>
          <w:rFonts w:ascii="Times New Roman" w:hAnsi="Times New Roman"/>
          <w:sz w:val="24"/>
          <w:szCs w:val="24"/>
        </w:rPr>
        <w:t>entë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tjerë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treguesve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pe</w:t>
      </w:r>
      <w:r w:rsidRPr="00BE21DC">
        <w:rPr>
          <w:rFonts w:ascii="Times New Roman" w:hAnsi="Times New Roman"/>
          <w:sz w:val="24"/>
          <w:szCs w:val="24"/>
        </w:rPr>
        <w:t>rformancës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prokurorëve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apelit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shprehur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përqindje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6B4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AA26B4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6B4" w:rsidRPr="00BE21DC">
        <w:rPr>
          <w:rFonts w:ascii="Times New Roman" w:hAnsi="Times New Roman"/>
          <w:sz w:val="24"/>
          <w:szCs w:val="24"/>
        </w:rPr>
        <w:t>secilën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apeli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sipas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treguesve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tabelen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poshtë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PlainTable51"/>
        <w:tblW w:w="8224" w:type="dxa"/>
        <w:tblInd w:w="567" w:type="dxa"/>
        <w:tblLook w:val="04A0" w:firstRow="1" w:lastRow="0" w:firstColumn="1" w:lastColumn="0" w:noHBand="0" w:noVBand="1"/>
      </w:tblPr>
      <w:tblGrid>
        <w:gridCol w:w="2692"/>
        <w:gridCol w:w="1224"/>
        <w:gridCol w:w="1224"/>
        <w:gridCol w:w="1106"/>
        <w:gridCol w:w="1106"/>
        <w:gridCol w:w="1323"/>
      </w:tblGrid>
      <w:tr w:rsidR="00101C76" w:rsidRPr="00BE21DC" w:rsidTr="00914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41" w:type="dxa"/>
            <w:noWrap/>
          </w:tcPr>
          <w:p w:rsidR="00101C76" w:rsidRPr="00BE21DC" w:rsidRDefault="00101C76" w:rsidP="009148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72" w:type="dxa"/>
            <w:noWrap/>
          </w:tcPr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Hequr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dorë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nga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apeli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prokurorit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të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Sh.I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Themel</w:t>
            </w:r>
            <w:proofErr w:type="spellEnd"/>
          </w:p>
        </w:tc>
        <w:tc>
          <w:tcPr>
            <w:tcW w:w="1072" w:type="dxa"/>
          </w:tcPr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Hequr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dorë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nga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apeli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prokurorit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të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Sh.I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për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Masa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Sigurimi</w:t>
            </w:r>
            <w:proofErr w:type="spellEnd"/>
          </w:p>
        </w:tc>
        <w:tc>
          <w:tcPr>
            <w:tcW w:w="1022" w:type="dxa"/>
            <w:noWrap/>
          </w:tcPr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Miratuar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kërkesa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për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lënie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në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fuqi</w:t>
            </w:r>
            <w:proofErr w:type="spellEnd"/>
          </w:p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Themel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72" w:type="dxa"/>
          </w:tcPr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Miratuar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kërkesa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për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lënie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në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fuqi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Masë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Sigurimi</w:t>
            </w:r>
            <w:proofErr w:type="spellEnd"/>
          </w:p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45" w:type="dxa"/>
            <w:noWrap/>
          </w:tcPr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Miratuar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kërkesa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për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rëndim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pozite</w:t>
            </w:r>
            <w:proofErr w:type="spellEnd"/>
          </w:p>
          <w:p w:rsidR="00101C76" w:rsidRPr="00BE21DC" w:rsidRDefault="00101C76" w:rsidP="00914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Themel</w:t>
            </w:r>
            <w:proofErr w:type="spellEnd"/>
          </w:p>
        </w:tc>
      </w:tr>
      <w:tr w:rsidR="00101C76" w:rsidRPr="00BE21DC" w:rsidTr="00914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noWrap/>
          </w:tcPr>
          <w:p w:rsidR="00101C76" w:rsidRPr="00BE21DC" w:rsidRDefault="00101C76" w:rsidP="009148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Tiranë</w:t>
            </w:r>
            <w:proofErr w:type="spellEnd"/>
          </w:p>
        </w:tc>
        <w:tc>
          <w:tcPr>
            <w:tcW w:w="1072" w:type="dxa"/>
            <w:noWrap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072" w:type="dxa"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022" w:type="dxa"/>
            <w:noWrap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972" w:type="dxa"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83,7%</w:t>
            </w:r>
          </w:p>
        </w:tc>
        <w:tc>
          <w:tcPr>
            <w:tcW w:w="1345" w:type="dxa"/>
            <w:noWrap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</w:tr>
      <w:tr w:rsidR="00101C76" w:rsidRPr="00BE21DC" w:rsidTr="009148DE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noWrap/>
            <w:hideMark/>
          </w:tcPr>
          <w:p w:rsidR="00101C76" w:rsidRPr="00BE21DC" w:rsidRDefault="00101C76" w:rsidP="009148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Durrës</w:t>
            </w:r>
            <w:proofErr w:type="spellEnd"/>
          </w:p>
        </w:tc>
        <w:tc>
          <w:tcPr>
            <w:tcW w:w="1072" w:type="dxa"/>
            <w:noWrap/>
            <w:hideMark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072" w:type="dxa"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022" w:type="dxa"/>
            <w:noWrap/>
            <w:hideMark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59,24%</w:t>
            </w:r>
          </w:p>
        </w:tc>
        <w:tc>
          <w:tcPr>
            <w:tcW w:w="972" w:type="dxa"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1345" w:type="dxa"/>
            <w:noWrap/>
            <w:hideMark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</w:tr>
      <w:tr w:rsidR="00101C76" w:rsidRPr="00BE21DC" w:rsidTr="00914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noWrap/>
            <w:hideMark/>
          </w:tcPr>
          <w:p w:rsidR="00101C76" w:rsidRPr="00BE21DC" w:rsidRDefault="00101C76" w:rsidP="009148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Korçë</w:t>
            </w:r>
            <w:proofErr w:type="spellEnd"/>
          </w:p>
        </w:tc>
        <w:tc>
          <w:tcPr>
            <w:tcW w:w="1072" w:type="dxa"/>
            <w:noWrap/>
            <w:hideMark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072" w:type="dxa"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noWrap/>
            <w:hideMark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71,62%</w:t>
            </w:r>
          </w:p>
        </w:tc>
        <w:tc>
          <w:tcPr>
            <w:tcW w:w="972" w:type="dxa"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78,7%</w:t>
            </w:r>
          </w:p>
        </w:tc>
        <w:tc>
          <w:tcPr>
            <w:tcW w:w="1345" w:type="dxa"/>
            <w:noWrap/>
            <w:hideMark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101C76" w:rsidRPr="00BE21DC" w:rsidTr="009148DE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noWrap/>
            <w:hideMark/>
          </w:tcPr>
          <w:p w:rsidR="00101C76" w:rsidRPr="00BE21DC" w:rsidRDefault="00101C76" w:rsidP="009148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Shkodër</w:t>
            </w:r>
            <w:proofErr w:type="spellEnd"/>
          </w:p>
        </w:tc>
        <w:tc>
          <w:tcPr>
            <w:tcW w:w="1072" w:type="dxa"/>
            <w:noWrap/>
            <w:hideMark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37,8%</w:t>
            </w:r>
          </w:p>
        </w:tc>
        <w:tc>
          <w:tcPr>
            <w:tcW w:w="1072" w:type="dxa"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27.8%</w:t>
            </w:r>
          </w:p>
        </w:tc>
        <w:tc>
          <w:tcPr>
            <w:tcW w:w="1022" w:type="dxa"/>
            <w:noWrap/>
            <w:hideMark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27,8%</w:t>
            </w:r>
          </w:p>
        </w:tc>
        <w:tc>
          <w:tcPr>
            <w:tcW w:w="972" w:type="dxa"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345" w:type="dxa"/>
            <w:noWrap/>
            <w:hideMark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22,5%</w:t>
            </w:r>
          </w:p>
        </w:tc>
      </w:tr>
      <w:tr w:rsidR="00101C76" w:rsidRPr="00BE21DC" w:rsidTr="00914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noWrap/>
            <w:hideMark/>
          </w:tcPr>
          <w:p w:rsidR="00101C76" w:rsidRPr="00BE21DC" w:rsidRDefault="00101C76" w:rsidP="009148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Vlorë</w:t>
            </w:r>
            <w:proofErr w:type="spellEnd"/>
          </w:p>
        </w:tc>
        <w:tc>
          <w:tcPr>
            <w:tcW w:w="1072" w:type="dxa"/>
            <w:noWrap/>
            <w:hideMark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85,1%</w:t>
            </w:r>
          </w:p>
        </w:tc>
        <w:tc>
          <w:tcPr>
            <w:tcW w:w="1072" w:type="dxa"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3,57%</w:t>
            </w:r>
          </w:p>
        </w:tc>
        <w:tc>
          <w:tcPr>
            <w:tcW w:w="1022" w:type="dxa"/>
            <w:noWrap/>
            <w:hideMark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3,57%</w:t>
            </w:r>
          </w:p>
        </w:tc>
        <w:tc>
          <w:tcPr>
            <w:tcW w:w="972" w:type="dxa"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1345" w:type="dxa"/>
            <w:noWrap/>
            <w:hideMark/>
          </w:tcPr>
          <w:p w:rsidR="00101C76" w:rsidRPr="00BE21DC" w:rsidRDefault="00101C76" w:rsidP="0091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11,5%</w:t>
            </w:r>
          </w:p>
        </w:tc>
      </w:tr>
      <w:tr w:rsidR="00101C76" w:rsidRPr="00BE21DC" w:rsidTr="009148DE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noWrap/>
            <w:hideMark/>
          </w:tcPr>
          <w:p w:rsidR="00101C76" w:rsidRPr="00BE21DC" w:rsidRDefault="00101C76" w:rsidP="009148D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Prokuroria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Apelit</w:t>
            </w:r>
            <w:proofErr w:type="spellEnd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1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Gjirokastër</w:t>
            </w:r>
            <w:proofErr w:type="spellEnd"/>
          </w:p>
        </w:tc>
        <w:tc>
          <w:tcPr>
            <w:tcW w:w="1072" w:type="dxa"/>
            <w:noWrap/>
            <w:hideMark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1072" w:type="dxa"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022" w:type="dxa"/>
            <w:noWrap/>
            <w:hideMark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72" w:type="dxa"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345" w:type="dxa"/>
            <w:noWrap/>
            <w:hideMark/>
          </w:tcPr>
          <w:p w:rsidR="00101C76" w:rsidRPr="00BE21DC" w:rsidRDefault="00101C76" w:rsidP="00914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E21DC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</w:tbl>
    <w:p w:rsidR="00101C76" w:rsidRPr="00BE21DC" w:rsidRDefault="00101C76" w:rsidP="00101C76">
      <w:pPr>
        <w:pStyle w:val="NoSpacing"/>
        <w:spacing w:line="276" w:lineRule="auto"/>
        <w:jc w:val="both"/>
        <w:rPr>
          <w:rFonts w:ascii="Times New Roman" w:hAnsi="Times New Roman"/>
        </w:rPr>
      </w:pPr>
    </w:p>
    <w:p w:rsidR="00101C76" w:rsidRPr="00BE21DC" w:rsidRDefault="00101C76" w:rsidP="00101C76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21DC">
        <w:rPr>
          <w:rFonts w:ascii="Times New Roman" w:hAnsi="Times New Roman"/>
          <w:sz w:val="24"/>
          <w:szCs w:val="24"/>
        </w:rPr>
        <w:t>Këto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tregues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evidentojnë</w:t>
      </w:r>
      <w:proofErr w:type="spellEnd"/>
      <w:r w:rsidRPr="00BE21DC">
        <w:rPr>
          <w:rFonts w:ascii="Times New Roman" w:hAnsi="Times New Roman"/>
          <w:sz w:val="24"/>
          <w:szCs w:val="24"/>
        </w:rPr>
        <w:t>: -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çështjet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themelit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është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h</w:t>
      </w:r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equr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dorë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nga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apelimi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i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shkallës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së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pare;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përqindja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lartë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prej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85,1 %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është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Vlorë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,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ndërsa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përqindja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ulët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8%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është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Durrës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;</w:t>
      </w:r>
      <w:r w:rsidRPr="00BE21DC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çështjet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BE21DC">
        <w:rPr>
          <w:rFonts w:ascii="Times New Roman" w:hAnsi="Times New Roman"/>
          <w:sz w:val="24"/>
          <w:szCs w:val="24"/>
        </w:rPr>
        <w:t>sigurimi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është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h</w:t>
      </w:r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equr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dorë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nga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apelimi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i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shkallës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së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pare</w:t>
      </w:r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,</w:t>
      </w:r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përqindja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lartë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prej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46 %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është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Tiranë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,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ndërsa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përqindje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ulët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0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është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Korçë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; </w:t>
      </w:r>
      <w:r w:rsidRPr="00BE21DC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-</w:t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miratimi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nga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gjykata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i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kërkesave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lënie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fuqi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të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vendimit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çështje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themeli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,</w:t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përqindja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lartë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prej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86 %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është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Tiranë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,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ndërsa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përqindja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ulët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3,57 % 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është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Vlorë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;</w:t>
      </w:r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-</w:t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miratimi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nga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gjykata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i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kërkesave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lënie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fuq</w:t>
      </w:r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i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të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vendimit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masë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sigurimi</w:t>
      </w:r>
      <w:proofErr w:type="spellEnd"/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,</w:t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përqindja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lartë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prej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93 %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është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Gjirokastër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,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ndërsa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përqindja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ulët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prej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76 % 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është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Durrës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;</w:t>
      </w:r>
      <w:r w:rsidR="0062209C"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r w:rsidRPr="00BE21DC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-</w:t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miratimi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nga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gjykata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62209C"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i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kërkesave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të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prokurorit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të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për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rëndim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pozite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për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çështje</w:t>
      </w:r>
      <w:proofErr w:type="spellEnd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themeli</w:t>
      </w:r>
      <w:proofErr w:type="spellEnd"/>
      <w:r w:rsidR="0062209C" w:rsidRPr="00BE21DC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,</w:t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përqindja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lartë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prej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29 %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është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Tiranë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,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ndërsa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përqindja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më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ulët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0 % 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është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Prokurorinë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e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Apelit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Korçë</w:t>
      </w:r>
      <w:proofErr w:type="spellEnd"/>
      <w:r w:rsidRPr="00BE21DC">
        <w:rPr>
          <w:rFonts w:ascii="Times New Roman" w:eastAsia="Times New Roman" w:hAnsi="Times New Roman"/>
          <w:bCs/>
          <w:sz w:val="24"/>
          <w:szCs w:val="24"/>
          <w:lang w:eastAsia="en-GB"/>
        </w:rPr>
        <w:t>.</w:t>
      </w:r>
    </w:p>
    <w:p w:rsidR="00101C76" w:rsidRPr="00BE21DC" w:rsidRDefault="00101C76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E21DC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Veprimtaria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Prokurorisë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Përgjithshme</w:t>
      </w:r>
      <w:proofErr w:type="spellEnd"/>
    </w:p>
    <w:p w:rsidR="00F14430" w:rsidRPr="00BE21DC" w:rsidRDefault="00F14430" w:rsidP="00F1443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përmbushje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dispozitave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>kushtetuese</w:t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ligjore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veprimtaria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përgjatë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vitit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202</w:t>
      </w:r>
      <w:r w:rsidR="00077A41" w:rsidRPr="00BE21DC">
        <w:rPr>
          <w:rFonts w:ascii="Times New Roman" w:hAnsi="Times New Roman"/>
          <w:sz w:val="24"/>
          <w:szCs w:val="24"/>
        </w:rPr>
        <w:t>1</w:t>
      </w:r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ka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vijuar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realizimin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misionit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objektivave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prioritare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përmbushjen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kërkesave</w:t>
      </w:r>
      <w:proofErr w:type="spellEnd"/>
      <w:r w:rsidRPr="00BE21DC">
        <w:rPr>
          <w:rFonts w:ascii="Times New Roman" w:hAnsi="Times New Roman"/>
          <w:sz w:val="24"/>
          <w:szCs w:val="24"/>
        </w:rPr>
        <w:t>/</w:t>
      </w:r>
      <w:proofErr w:type="spellStart"/>
      <w:r w:rsidRPr="00BE21DC">
        <w:rPr>
          <w:rFonts w:ascii="Times New Roman" w:hAnsi="Times New Roman"/>
          <w:sz w:val="24"/>
          <w:szCs w:val="24"/>
        </w:rPr>
        <w:t>rekomandimeve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institucioneve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kushtetuese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ndërkombëtare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lidhur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prioriteteve </w:t>
      </w:r>
      <w:r w:rsidR="00784E93" w:rsidRPr="00BE21DC">
        <w:rPr>
          <w:rFonts w:ascii="Times New Roman" w:hAnsi="Times New Roman"/>
          <w:noProof/>
          <w:sz w:val="24"/>
          <w:szCs w:val="24"/>
          <w:lang w:val="sq-AL"/>
        </w:rPr>
        <w:t>e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shtetit shqiptar në kuadër të procesit të integrimit, si dhe të angazimeve në zbatim të </w:t>
      </w:r>
      <w:r w:rsidR="00784E93"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disa 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>strategjive ndërinstitucionale</w:t>
      </w:r>
      <w:r w:rsidR="00784E93"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ku jemi t</w:t>
      </w:r>
      <w:r w:rsidR="00347E20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="00784E93"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p</w:t>
      </w:r>
      <w:r w:rsidR="00347E20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="00784E93" w:rsidRPr="00BE21DC">
        <w:rPr>
          <w:rFonts w:ascii="Times New Roman" w:hAnsi="Times New Roman"/>
          <w:noProof/>
          <w:sz w:val="24"/>
          <w:szCs w:val="24"/>
          <w:lang w:val="sq-AL"/>
        </w:rPr>
        <w:t>rfshir</w:t>
      </w:r>
      <w:r w:rsidR="00347E20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sz w:val="24"/>
          <w:szCs w:val="24"/>
        </w:rPr>
        <w:t xml:space="preserve">. </w:t>
      </w: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11942" w:rsidRPr="00BE21DC" w:rsidRDefault="00E17672" w:rsidP="009E3ACC">
      <w:pPr>
        <w:spacing w:after="0"/>
        <w:ind w:firstLine="360"/>
        <w:jc w:val="both"/>
        <w:rPr>
          <w:rFonts w:ascii="Times New Roman" w:hAnsi="Times New Roman"/>
          <w:spacing w:val="-4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</w:rPr>
        <w:t xml:space="preserve">3.1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Krahas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veprimtarive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tjera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trajtuara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n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k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611942"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raport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n</w:t>
      </w:r>
      <w:r w:rsidR="009E3ACC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përmbushje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kërkes</w:t>
      </w:r>
      <w:r w:rsidR="00C35A40" w:rsidRPr="00BE21DC">
        <w:rPr>
          <w:rFonts w:ascii="Times New Roman" w:hAnsi="Times New Roman"/>
          <w:sz w:val="24"/>
          <w:szCs w:val="24"/>
        </w:rPr>
        <w:t>ave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rezolutës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Kuvendit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Shqip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611942" w:rsidRPr="00BE21DC">
        <w:rPr>
          <w:rFonts w:ascii="Times New Roman" w:hAnsi="Times New Roman"/>
          <w:sz w:val="24"/>
          <w:szCs w:val="24"/>
        </w:rPr>
        <w:t>ris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p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611942" w:rsidRPr="00BE21DC">
        <w:rPr>
          <w:rFonts w:ascii="Times New Roman" w:hAnsi="Times New Roman"/>
          <w:sz w:val="24"/>
          <w:szCs w:val="24"/>
        </w:rPr>
        <w:t>r</w:t>
      </w:r>
      <w:proofErr w:type="spellEnd"/>
      <w:r w:rsidR="0061194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1942" w:rsidRPr="00BE21DC">
        <w:rPr>
          <w:rFonts w:ascii="Times New Roman" w:hAnsi="Times New Roman"/>
          <w:sz w:val="24"/>
          <w:szCs w:val="24"/>
        </w:rPr>
        <w:t>vitin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2021</w:t>
      </w:r>
      <w:r w:rsidR="009E3ACC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Prokuroria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Përgjithshme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bashkëpunim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ekspertët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projektit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EURALIUS V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ka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përgatitur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datë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30.12.2021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është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miratuar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Udhëzimi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Përgjithshëm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nr.10 “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funksionimin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strukturës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monitorimit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sistemin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prokurorisë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bashkërendimi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institucionet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kushtetuese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ligjore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>”.</w:t>
      </w:r>
      <w:r w:rsidR="00C35A40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Ky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udhësim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bCs/>
          <w:sz w:val="24"/>
          <w:szCs w:val="24"/>
        </w:rPr>
        <w:t>synon</w:t>
      </w:r>
      <w:proofErr w:type="spellEnd"/>
      <w:r w:rsidR="009E3ACC" w:rsidRPr="00BE21DC">
        <w:rPr>
          <w:rFonts w:ascii="Times New Roman" w:hAnsi="Times New Roman"/>
          <w:bCs/>
          <w:sz w:val="24"/>
          <w:szCs w:val="24"/>
        </w:rPr>
        <w:t xml:space="preserve"> </w:t>
      </w:r>
      <w:r w:rsidR="009E3ACC" w:rsidRPr="00BE21DC">
        <w:rPr>
          <w:rFonts w:ascii="Times New Roman" w:hAnsi="Times New Roman"/>
          <w:spacing w:val="-4"/>
          <w:sz w:val="24"/>
          <w:szCs w:val="24"/>
          <w:lang w:val="sq-AL"/>
        </w:rPr>
        <w:t>unifikimin e ushtrimit të funksioneve mbikëqyr</w:t>
      </w:r>
      <w:r w:rsidR="009E3ACC" w:rsidRPr="00BE21DC">
        <w:rPr>
          <w:rFonts w:ascii="Times New Roman" w:hAnsi="Times New Roman"/>
          <w:sz w:val="24"/>
          <w:szCs w:val="24"/>
          <w:lang w:val="sq-AL"/>
        </w:rPr>
        <w:t>ë</w:t>
      </w:r>
      <w:r w:rsidR="009E3ACC" w:rsidRPr="00BE21DC">
        <w:rPr>
          <w:rFonts w:ascii="Times New Roman" w:hAnsi="Times New Roman"/>
          <w:spacing w:val="-4"/>
          <w:sz w:val="24"/>
          <w:szCs w:val="24"/>
          <w:lang w:val="sq-AL"/>
        </w:rPr>
        <w:t>se dhe verifikuese nga strukturat përkatëse dhe/ose nga autoriteti i monitorimit në sistemin e prokurorisë me juridiksion të përgjithshëm, për të garantuar zbatimin e udhëzimeve të përgjithshme, dhe si kanë ndikuar ato në efiçencën dhe/ose efektivitetin e ushtrimit të kompetencave kushtetuese dhe ligjore të prokurorisë në drejtimet e udhëzuara dhe/ose rekomanduara, si dhe për  iniciimin e inspektimeve tematike në strukturat përkatëse ose hetimeve dis</w:t>
      </w:r>
      <w:r w:rsidR="00FC4162" w:rsidRPr="00BE21DC">
        <w:rPr>
          <w:rFonts w:ascii="Times New Roman" w:hAnsi="Times New Roman"/>
          <w:spacing w:val="-4"/>
          <w:sz w:val="24"/>
          <w:szCs w:val="24"/>
          <w:lang w:val="sq-AL"/>
        </w:rPr>
        <w:t>ipl</w:t>
      </w:r>
      <w:r w:rsidR="009E3ACC" w:rsidRPr="00BE21DC">
        <w:rPr>
          <w:rFonts w:ascii="Times New Roman" w:hAnsi="Times New Roman"/>
          <w:spacing w:val="-4"/>
          <w:sz w:val="24"/>
          <w:szCs w:val="24"/>
          <w:lang w:val="sq-AL"/>
        </w:rPr>
        <w:t xml:space="preserve">inore për shkelje individuale të prokurorëve dhe oficerëve të policisë gjyqësore të seksioneve sipas ligjit në bashkëpunim me Inspektorin e Lartë të Drejtësisë dhe Komisionin e Policisë Gjyqësore, për të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siguruar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pavarësinë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>/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autonominë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prokurorit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ushtrimin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funksioneve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mbarëvajtjen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efi</w:t>
      </w:r>
      <w:proofErr w:type="spellEnd"/>
      <w:r w:rsidR="009E3ACC" w:rsidRPr="00BE21DC">
        <w:rPr>
          <w:rFonts w:ascii="Times New Roman" w:hAnsi="Times New Roman"/>
          <w:spacing w:val="-4"/>
          <w:sz w:val="24"/>
          <w:szCs w:val="24"/>
          <w:lang w:val="sq-AL"/>
        </w:rPr>
        <w:t>ç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encën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ligjshmërinë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transparencën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veprimtarinë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sistemit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9E3AC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ACC" w:rsidRPr="00BE21DC">
        <w:rPr>
          <w:rFonts w:ascii="Times New Roman" w:hAnsi="Times New Roman"/>
          <w:sz w:val="24"/>
          <w:szCs w:val="24"/>
        </w:rPr>
        <w:t>prokurorisë</w:t>
      </w:r>
      <w:proofErr w:type="spellEnd"/>
      <w:r w:rsidR="009E3ACC" w:rsidRPr="00BE21DC">
        <w:rPr>
          <w:rFonts w:ascii="Times New Roman" w:hAnsi="Times New Roman"/>
          <w:spacing w:val="-4"/>
          <w:sz w:val="24"/>
          <w:szCs w:val="24"/>
          <w:lang w:val="sq-AL"/>
        </w:rPr>
        <w:t>.</w:t>
      </w:r>
    </w:p>
    <w:p w:rsidR="00E17672" w:rsidRPr="00BE21DC" w:rsidRDefault="009E3ACC" w:rsidP="00E17672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  <w:lang w:val="sq-AL"/>
        </w:rPr>
        <w:t xml:space="preserve">Ky udhëzim i përgjithshëm përcakton rregullat për mënyrën e mbikëqyrjes të zbatimit të udhëzimeve të përgjithshme, veprimtarisë së policisë gjyqësore dhe marrjes së informacionit nga strukturat në Prokurorinë e Përgjithshme në bashkërendim me autoritetin e monitorimit/mbikëqyrjes në prokuroritë përkatëse, si dhe mënyrën e mbikëqyrjes dhe verifikimit të indicieve, informacioneve ose ankesave për problematikat apo shkeljet e konstatuara apo të pretenduara dhe bashkëpunimin me strukturat përkatëse në prokurori dhe me institucionet kushtetuese dhe ligjore. </w:t>
      </w:r>
    </w:p>
    <w:p w:rsidR="00E17672" w:rsidRPr="00BE21DC" w:rsidRDefault="00E17672" w:rsidP="00E17672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14430" w:rsidRPr="00BE21DC" w:rsidRDefault="00F14430" w:rsidP="00A65C5C">
      <w:pPr>
        <w:spacing w:after="0"/>
        <w:ind w:firstLine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BE21DC">
        <w:rPr>
          <w:rFonts w:ascii="Times New Roman" w:hAnsi="Times New Roman"/>
          <w:sz w:val="24"/>
          <w:szCs w:val="24"/>
        </w:rPr>
        <w:t>3.</w:t>
      </w:r>
      <w:r w:rsidR="00E17672" w:rsidRPr="00BE21DC">
        <w:rPr>
          <w:rFonts w:ascii="Times New Roman" w:hAnsi="Times New Roman"/>
          <w:sz w:val="24"/>
          <w:szCs w:val="24"/>
        </w:rPr>
        <w:t>2</w:t>
      </w:r>
      <w:r w:rsidRPr="00BE21DC">
        <w:rPr>
          <w:rFonts w:ascii="Times New Roman" w:hAnsi="Times New Roman"/>
          <w:b/>
          <w:sz w:val="24"/>
          <w:szCs w:val="24"/>
        </w:rPr>
        <w:t xml:space="preserve"> </w:t>
      </w:r>
      <w:r w:rsidRPr="00BE21DC">
        <w:rPr>
          <w:rFonts w:ascii="Times New Roman" w:hAnsi="Times New Roman"/>
          <w:iCs/>
          <w:sz w:val="24"/>
          <w:szCs w:val="24"/>
          <w:lang w:val="sq-AL"/>
        </w:rPr>
        <w:t xml:space="preserve">Prokurorët e Prokurorisë së Përgjithshme në ushtrimin e funksioneve kanë përfaqësuar organin e akuzës në </w:t>
      </w:r>
      <w:r w:rsidR="00A65C5C" w:rsidRPr="00BE21DC">
        <w:rPr>
          <w:rFonts w:ascii="Times New Roman" w:hAnsi="Times New Roman"/>
          <w:iCs/>
          <w:sz w:val="24"/>
          <w:szCs w:val="24"/>
          <w:lang w:val="sq-AL"/>
        </w:rPr>
        <w:t>54</w:t>
      </w:r>
      <w:r w:rsidRPr="00BE21DC">
        <w:rPr>
          <w:rFonts w:ascii="Times New Roman" w:hAnsi="Times New Roman"/>
          <w:iCs/>
          <w:sz w:val="24"/>
          <w:szCs w:val="24"/>
          <w:lang w:val="sq-AL"/>
        </w:rPr>
        <w:t xml:space="preserve"> çështje pranë Gjykatës së Lartë, </w:t>
      </w:r>
      <w:r w:rsidR="00A65C5C" w:rsidRPr="00BE21DC">
        <w:rPr>
          <w:rFonts w:ascii="Times New Roman" w:hAnsi="Times New Roman"/>
          <w:iCs/>
          <w:sz w:val="24"/>
          <w:szCs w:val="24"/>
          <w:lang w:val="sq-AL"/>
        </w:rPr>
        <w:t>prej të cilave 34 gjykime themeli, ku tre janë për vendime njësuese, dhe 20 gjykime masa sigurimi, si dhe në cilësinë e subjektit të interesuar pranë Gjykatës Kushtetuese për 5 çështje.</w:t>
      </w:r>
      <w:r w:rsidR="00A65C5C" w:rsidRPr="00BE21DC">
        <w:rPr>
          <w:rFonts w:ascii="Times New Roman" w:hAnsi="Times New Roman"/>
          <w:iCs/>
          <w:sz w:val="24"/>
          <w:szCs w:val="24"/>
          <w:highlight w:val="yellow"/>
          <w:lang w:val="sq-AL"/>
        </w:rPr>
        <w:t xml:space="preserve"> </w:t>
      </w:r>
    </w:p>
    <w:p w:rsidR="00F14430" w:rsidRPr="00BE21DC" w:rsidRDefault="00F14430" w:rsidP="00F14430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iCs/>
          <w:sz w:val="24"/>
          <w:szCs w:val="24"/>
          <w:lang w:val="sq-AL"/>
        </w:rPr>
        <w:t xml:space="preserve">Ndërkohë,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zbatim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dispozitave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Kodit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Procedurës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Penale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janë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trajtuar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BE21DC">
        <w:rPr>
          <w:rFonts w:ascii="Times New Roman" w:hAnsi="Times New Roman"/>
          <w:sz w:val="24"/>
          <w:szCs w:val="24"/>
        </w:rPr>
        <w:t>është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dhënë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zgjidhje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ligjore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r w:rsidR="00A65C5C" w:rsidRPr="00BE21DC">
        <w:rPr>
          <w:rFonts w:ascii="Times New Roman" w:hAnsi="Times New Roman"/>
          <w:sz w:val="24"/>
          <w:szCs w:val="24"/>
        </w:rPr>
        <w:t>4</w:t>
      </w:r>
      <w:r w:rsidRPr="00BE21DC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BE21DC">
        <w:rPr>
          <w:rFonts w:ascii="Times New Roman" w:hAnsi="Times New Roman"/>
          <w:sz w:val="24"/>
          <w:szCs w:val="24"/>
        </w:rPr>
        <w:t>kërkesave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mosmarrëveshje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kompetencat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21DC">
        <w:rPr>
          <w:rFonts w:ascii="Times New Roman" w:hAnsi="Times New Roman"/>
          <w:sz w:val="24"/>
          <w:szCs w:val="24"/>
        </w:rPr>
        <w:t>tokësore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E21DC">
        <w:rPr>
          <w:rFonts w:ascii="Times New Roman" w:hAnsi="Times New Roman"/>
          <w:sz w:val="24"/>
          <w:szCs w:val="24"/>
        </w:rPr>
        <w:t>mes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pranë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gjykatave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shkallës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parë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juridiksion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. </w:t>
      </w:r>
    </w:p>
    <w:p w:rsidR="00C35A40" w:rsidRPr="00BE21DC" w:rsidRDefault="00C35A40" w:rsidP="00F14430">
      <w:pPr>
        <w:pStyle w:val="CommentText"/>
        <w:spacing w:line="276" w:lineRule="auto"/>
        <w:ind w:firstLine="360"/>
        <w:jc w:val="both"/>
        <w:rPr>
          <w:sz w:val="24"/>
          <w:szCs w:val="24"/>
          <w:lang w:eastAsia="sq-AL"/>
        </w:rPr>
      </w:pPr>
    </w:p>
    <w:p w:rsidR="00F14430" w:rsidRPr="00BE21DC" w:rsidRDefault="00F14430" w:rsidP="00F14430">
      <w:pPr>
        <w:pStyle w:val="CommentText"/>
        <w:spacing w:line="276" w:lineRule="auto"/>
        <w:ind w:firstLine="360"/>
        <w:jc w:val="both"/>
        <w:rPr>
          <w:smallCaps/>
          <w:sz w:val="24"/>
          <w:szCs w:val="24"/>
          <w:lang w:val="it-IT"/>
        </w:rPr>
      </w:pPr>
      <w:r w:rsidRPr="00BE21DC">
        <w:rPr>
          <w:sz w:val="24"/>
          <w:szCs w:val="24"/>
          <w:lang w:eastAsia="sq-AL"/>
        </w:rPr>
        <w:t>3.</w:t>
      </w:r>
      <w:r w:rsidR="00A65C5C" w:rsidRPr="00BE21DC">
        <w:rPr>
          <w:sz w:val="24"/>
          <w:szCs w:val="24"/>
          <w:lang w:eastAsia="sq-AL"/>
        </w:rPr>
        <w:t>3</w:t>
      </w:r>
      <w:r w:rsidRPr="00BE21DC">
        <w:rPr>
          <w:sz w:val="24"/>
          <w:szCs w:val="24"/>
          <w:lang w:eastAsia="sq-AL"/>
        </w:rPr>
        <w:t xml:space="preserve"> </w:t>
      </w:r>
      <w:r w:rsidRPr="00BE21DC">
        <w:rPr>
          <w:sz w:val="24"/>
          <w:szCs w:val="24"/>
          <w:lang w:val="it-IT"/>
        </w:rPr>
        <w:t xml:space="preserve">Në përmbushje të detyrimeve kushtetuese dhe ligjore, </w:t>
      </w:r>
      <w:r w:rsidR="00F51662" w:rsidRPr="00BE21DC">
        <w:rPr>
          <w:sz w:val="24"/>
          <w:szCs w:val="24"/>
          <w:lang w:val="it-IT"/>
        </w:rPr>
        <w:t>p</w:t>
      </w:r>
      <w:r w:rsidR="00BD3D5F" w:rsidRPr="00BE21DC">
        <w:rPr>
          <w:sz w:val="24"/>
          <w:szCs w:val="24"/>
          <w:lang w:val="it-IT"/>
        </w:rPr>
        <w:t>ë</w:t>
      </w:r>
      <w:r w:rsidR="00F51662" w:rsidRPr="00BE21DC">
        <w:rPr>
          <w:sz w:val="24"/>
          <w:szCs w:val="24"/>
          <w:lang w:val="it-IT"/>
        </w:rPr>
        <w:t>rgjat</w:t>
      </w:r>
      <w:r w:rsidR="00BD3D5F" w:rsidRPr="00BE21DC">
        <w:rPr>
          <w:sz w:val="24"/>
          <w:szCs w:val="24"/>
          <w:lang w:val="it-IT"/>
        </w:rPr>
        <w:t>ë</w:t>
      </w:r>
      <w:r w:rsidR="00F51662" w:rsidRPr="00BE21DC">
        <w:rPr>
          <w:sz w:val="24"/>
          <w:szCs w:val="24"/>
          <w:lang w:val="it-IT"/>
        </w:rPr>
        <w:t xml:space="preserve"> vitit 2021 </w:t>
      </w:r>
      <w:r w:rsidRPr="00BE21DC">
        <w:rPr>
          <w:sz w:val="24"/>
          <w:szCs w:val="24"/>
          <w:lang w:val="it-IT"/>
        </w:rPr>
        <w:t>janë kryer raportimet dhe informimet për institucionet kushtetuese, dërguar: Kuvendit të Shqipërisë, Ministrisë së Drejtësisë, etj, për zbatimin e kërkesave të Rezolutës së Kuvendit të Shqipërisë dhe Rekomandimeve Prioritare të Këshillit të Ministrave,  bazuar, si në progresin e politikave dhe masave institucionale të Prokurorisë së Përgjithshme dhe disa prokurorive me juridiksion të përgjithshëm, ashtu dhe me të dhënat e treguesve kryesorë të progresit të punës së prokurorive, sipas periudhave raportuese.</w:t>
      </w:r>
    </w:p>
    <w:p w:rsidR="00F14430" w:rsidRPr="00BE21DC" w:rsidRDefault="00F14430" w:rsidP="00F14430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9A001B" w:rsidRPr="00BE21DC" w:rsidRDefault="00A65C5C" w:rsidP="009A001B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E21DC">
        <w:rPr>
          <w:rFonts w:ascii="Times New Roman" w:eastAsia="Times New Roman" w:hAnsi="Times New Roman"/>
          <w:sz w:val="24"/>
          <w:szCs w:val="24"/>
          <w:lang w:val="it-IT"/>
        </w:rPr>
        <w:t>3.4</w:t>
      </w:r>
      <w:r w:rsidR="00F14430" w:rsidRPr="00BE21DC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Prokuroria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eastAsia="Times New Roman" w:hAnsi="Times New Roman"/>
          <w:sz w:val="24"/>
          <w:szCs w:val="24"/>
        </w:rPr>
        <w:t>Përgjithshme</w:t>
      </w:r>
      <w:proofErr w:type="spellEnd"/>
      <w:r w:rsidR="00F14430" w:rsidRPr="00BE21DC">
        <w:rPr>
          <w:rFonts w:ascii="Times New Roman" w:eastAsia="Times New Roman" w:hAnsi="Times New Roman"/>
          <w:sz w:val="24"/>
          <w:szCs w:val="24"/>
        </w:rPr>
        <w:t>, p</w:t>
      </w:r>
      <w:r w:rsidR="00F14430" w:rsidRPr="00BE21DC">
        <w:rPr>
          <w:rFonts w:ascii="Times New Roman" w:eastAsia="Times New Roman" w:hAnsi="Times New Roman"/>
          <w:sz w:val="24"/>
          <w:szCs w:val="24"/>
          <w:lang w:val="it-IT"/>
        </w:rPr>
        <w:t xml:space="preserve">ër të realizuar funksionet dhe detyrat kushtetuese e ligjore që ka në kompetencë </w:t>
      </w:r>
      <w:r w:rsidRPr="00BE21DC">
        <w:rPr>
          <w:rFonts w:ascii="Times New Roman" w:eastAsia="Times New Roman" w:hAnsi="Times New Roman"/>
          <w:sz w:val="24"/>
          <w:szCs w:val="24"/>
          <w:lang w:val="da-DK"/>
        </w:rPr>
        <w:t>dhe në kuadrin e kërkesave dhe rekomandimeve të institucioneve kushtetuese dhe ndërkombëtare</w:t>
      </w:r>
      <w:r w:rsidRPr="00BE21DC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F14430" w:rsidRPr="00BE21DC">
        <w:rPr>
          <w:rFonts w:ascii="Times New Roman" w:eastAsia="Times New Roman" w:hAnsi="Times New Roman"/>
          <w:sz w:val="24"/>
          <w:szCs w:val="24"/>
          <w:lang w:val="it-IT"/>
        </w:rPr>
        <w:t>është angazhuar për normimin dhe unifikimin e veprimtarive administrative dhe funksionale në prokuroritë me juridiksion të përgjithshëm, me synim garantimin e pavarësisë së prokurorëve, rritjen e efektivitetit në kryerjen e hetimeve ushtrimin e ndjekjes penale dhe ngritjen e përfaqësimin e akuzës në gjykatë, asht</w:t>
      </w:r>
      <w:r w:rsidR="00FC4162" w:rsidRPr="00BE21DC">
        <w:rPr>
          <w:rFonts w:ascii="Times New Roman" w:eastAsia="Times New Roman" w:hAnsi="Times New Roman"/>
          <w:sz w:val="24"/>
          <w:szCs w:val="24"/>
          <w:lang w:val="it-IT"/>
        </w:rPr>
        <w:t>u dhe për përgatitjen e projekt-</w:t>
      </w:r>
      <w:r w:rsidR="00F14430" w:rsidRPr="00BE21DC">
        <w:rPr>
          <w:rFonts w:ascii="Times New Roman" w:eastAsia="Times New Roman" w:hAnsi="Times New Roman"/>
          <w:sz w:val="24"/>
          <w:szCs w:val="24"/>
          <w:lang w:val="it-IT"/>
        </w:rPr>
        <w:t>akteve të përbashkëta me institucione të tjera të përfshira për rritjen e eficencës në bashkëpunimin ndërinstitucional me strukturat hetimore të shërbimeve të policisë gjyqësore dhe agjensitë ligjzbatuese për rritjen e efektivitetit në veprimtarinë proceduriale penale dhe në ushtrimin e funksioneve apo detyrave të tjera të parashikuara me ligj.</w:t>
      </w:r>
    </w:p>
    <w:p w:rsidR="009A001B" w:rsidRPr="00BE21DC" w:rsidRDefault="00F14430" w:rsidP="009A001B">
      <w:pPr>
        <w:spacing w:after="0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da-DK"/>
        </w:rPr>
      </w:pPr>
      <w:r w:rsidRPr="00BE21DC">
        <w:rPr>
          <w:rFonts w:ascii="Times New Roman" w:eastAsia="Times New Roman" w:hAnsi="Times New Roman"/>
          <w:sz w:val="24"/>
          <w:szCs w:val="24"/>
          <w:lang w:val="it-IT"/>
        </w:rPr>
        <w:t xml:space="preserve">-Në këtë vështim, </w:t>
      </w:r>
      <w:proofErr w:type="spellStart"/>
      <w:r w:rsidRPr="00BE21DC">
        <w:rPr>
          <w:rFonts w:ascii="Times New Roman" w:hAnsi="Times New Roman"/>
          <w:sz w:val="24"/>
          <w:szCs w:val="24"/>
        </w:rPr>
        <w:t>janë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përgatitur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miratuar</w:t>
      </w:r>
      <w:proofErr w:type="spellEnd"/>
      <w:r w:rsidR="00F51662" w:rsidRPr="00BE21DC">
        <w:rPr>
          <w:rFonts w:ascii="Times New Roman" w:hAnsi="Times New Roman"/>
          <w:sz w:val="24"/>
          <w:szCs w:val="24"/>
        </w:rPr>
        <w:t>: -10</w:t>
      </w:r>
      <w:r w:rsidRPr="00BE21DC">
        <w:rPr>
          <w:rStyle w:val="FootnoteReference"/>
          <w:rFonts w:ascii="Times New Roman" w:hAnsi="Times New Roman"/>
          <w:sz w:val="24"/>
          <w:szCs w:val="24"/>
        </w:rPr>
        <w:footnoteReference w:id="7"/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përgjithshme</w:t>
      </w:r>
      <w:proofErr w:type="spellEnd"/>
      <w:r w:rsidRPr="00BE21DC">
        <w:rPr>
          <w:rFonts w:ascii="Times New Roman" w:hAnsi="Times New Roman"/>
          <w:sz w:val="24"/>
          <w:szCs w:val="24"/>
        </w:rPr>
        <w:t>, -1</w:t>
      </w:r>
      <w:r w:rsidR="00A65C5C" w:rsidRPr="00BE21DC">
        <w:rPr>
          <w:rFonts w:ascii="Times New Roman" w:hAnsi="Times New Roman"/>
          <w:sz w:val="24"/>
          <w:szCs w:val="24"/>
        </w:rPr>
        <w:t>5</w:t>
      </w:r>
      <w:r w:rsidRPr="00BE21DC">
        <w:rPr>
          <w:rStyle w:val="FootnoteReference"/>
          <w:rFonts w:ascii="Times New Roman" w:hAnsi="Times New Roman"/>
          <w:sz w:val="24"/>
          <w:szCs w:val="24"/>
        </w:rPr>
        <w:footnoteReference w:id="8"/>
      </w:r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urdhëra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r w:rsidR="00A65C5C" w:rsidRPr="00BE21DC">
        <w:rPr>
          <w:rFonts w:ascii="Times New Roman" w:hAnsi="Times New Roman"/>
          <w:sz w:val="24"/>
          <w:szCs w:val="24"/>
        </w:rPr>
        <w:t xml:space="preserve">normative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miratimin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A65C5C" w:rsidRPr="00BE21DC">
        <w:rPr>
          <w:rFonts w:ascii="Times New Roman" w:hAnsi="Times New Roman"/>
          <w:sz w:val="24"/>
          <w:szCs w:val="24"/>
        </w:rPr>
        <w:t>planeve</w:t>
      </w:r>
      <w:proofErr w:type="spellEnd"/>
      <w:r w:rsidR="00A65C5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5C5C"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A65C5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5C5C" w:rsidRPr="00BE21DC">
        <w:rPr>
          <w:rFonts w:ascii="Times New Roman" w:hAnsi="Times New Roman"/>
          <w:sz w:val="24"/>
          <w:szCs w:val="24"/>
        </w:rPr>
        <w:t>veprimit</w:t>
      </w:r>
      <w:proofErr w:type="spellEnd"/>
      <w:r w:rsidR="00A65C5C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normimin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veprimtarive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tjera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BE21DC">
        <w:rPr>
          <w:rFonts w:ascii="Times New Roman" w:hAnsi="Times New Roman"/>
          <w:sz w:val="24"/>
          <w:szCs w:val="24"/>
        </w:rPr>
        <w:t>apo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funksionale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si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BE21DC">
        <w:rPr>
          <w:rFonts w:ascii="Times New Roman" w:hAnsi="Times New Roman"/>
          <w:sz w:val="24"/>
          <w:szCs w:val="24"/>
        </w:rPr>
        <w:t>inicuar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përgatitur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r w:rsidR="00A65C5C" w:rsidRPr="00BE21DC">
        <w:rPr>
          <w:rFonts w:ascii="Times New Roman" w:hAnsi="Times New Roman"/>
          <w:sz w:val="24"/>
          <w:szCs w:val="24"/>
        </w:rPr>
        <w:t>4</w:t>
      </w:r>
      <w:r w:rsidRPr="00BE21DC">
        <w:rPr>
          <w:rStyle w:val="FootnoteReference"/>
          <w:rFonts w:ascii="Times New Roman" w:hAnsi="Times New Roman"/>
          <w:sz w:val="24"/>
          <w:szCs w:val="24"/>
        </w:rPr>
        <w:footnoteReference w:id="9"/>
      </w:r>
      <w:r w:rsidRPr="00BE21DC">
        <w:rPr>
          <w:rFonts w:ascii="Times New Roman" w:hAnsi="Times New Roman"/>
          <w:sz w:val="24"/>
          <w:szCs w:val="24"/>
        </w:rPr>
        <w:t xml:space="preserve"> </w:t>
      </w:r>
      <w:r w:rsidR="009A001B" w:rsidRPr="00BE21DC">
        <w:rPr>
          <w:rFonts w:ascii="Times New Roman" w:eastAsia="Times New Roman" w:hAnsi="Times New Roman"/>
          <w:sz w:val="24"/>
          <w:szCs w:val="24"/>
          <w:lang w:val="da-DK"/>
        </w:rPr>
        <w:t xml:space="preserve">marrëveshje bashkëpunimi ndërinstitucionale, me synim realizimin e </w:t>
      </w:r>
      <w:r w:rsidR="009A001B" w:rsidRPr="00BE21DC">
        <w:rPr>
          <w:rFonts w:ascii="Times New Roman" w:eastAsia="Times New Roman" w:hAnsi="Times New Roman"/>
          <w:sz w:val="24"/>
          <w:szCs w:val="24"/>
          <w:lang w:val="sq-AL"/>
        </w:rPr>
        <w:t>misionit kushtetues dhe ligjor të prokurorisë, forcimin e ligjshmërisë dhe rritjen e mëtejshme të efektivitetit në ushtrimin e ndjekjes penale, ngritjes dhe përfaqësimit të çështjeve dhe akuzave në gjyq, për krime të rënda e sensitive, në respektim të të drejtave të ligjshme dhe lirive personale të individit e viktimave në procesin penal</w:t>
      </w:r>
      <w:r w:rsidR="009A001B" w:rsidRPr="00BE21DC">
        <w:rPr>
          <w:rFonts w:ascii="Times New Roman" w:eastAsia="Times New Roman" w:hAnsi="Times New Roman"/>
          <w:sz w:val="24"/>
          <w:szCs w:val="24"/>
          <w:lang w:val="da-DK"/>
        </w:rPr>
        <w:t>, duke garantuar pavarësinë e prokurorëve në ushtrimin e funksioneve.</w:t>
      </w:r>
      <w:r w:rsidR="009A001B" w:rsidRPr="00BE21DC">
        <w:rPr>
          <w:rFonts w:ascii="Times New Roman" w:eastAsia="Times New Roman" w:hAnsi="Times New Roman"/>
          <w:b/>
          <w:sz w:val="24"/>
          <w:szCs w:val="24"/>
          <w:lang w:val="da-DK"/>
        </w:rPr>
        <w:t xml:space="preserve"> </w:t>
      </w:r>
    </w:p>
    <w:p w:rsidR="00F14430" w:rsidRPr="00BE21DC" w:rsidRDefault="00F14430" w:rsidP="009A001B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F14430" w:rsidRPr="00BE21DC" w:rsidRDefault="00F14430" w:rsidP="009A001B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BE21DC">
        <w:rPr>
          <w:rFonts w:ascii="Times New Roman" w:hAnsi="Times New Roman"/>
          <w:color w:val="000000"/>
          <w:sz w:val="24"/>
          <w:szCs w:val="24"/>
          <w:lang w:val="sq-AL"/>
        </w:rPr>
        <w:t>3.</w:t>
      </w:r>
      <w:r w:rsidR="009A001B" w:rsidRPr="00BE21DC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Pr="00BE21DC">
        <w:rPr>
          <w:rFonts w:ascii="Times New Roman" w:hAnsi="Times New Roman"/>
          <w:color w:val="000000"/>
          <w:sz w:val="24"/>
          <w:szCs w:val="24"/>
          <w:lang w:val="sq-AL"/>
        </w:rPr>
        <w:t xml:space="preserve"> Prokuroria e Përgjithshme është angazhuar dhe ka kontribuar në raportimin e progresin </w:t>
      </w:r>
      <w:r w:rsidRPr="00BE21DC">
        <w:rPr>
          <w:rFonts w:ascii="Times New Roman" w:hAnsi="Times New Roman"/>
          <w:noProof/>
          <w:color w:val="000000"/>
          <w:sz w:val="24"/>
          <w:szCs w:val="24"/>
          <w:lang w:val="sq-AL"/>
        </w:rPr>
        <w:t>në kuadrin e zbatimit të rekomandimeve të BE-së, ku institucionalisht jemi përfshirë në disa aktivitete.</w:t>
      </w:r>
      <w:r w:rsidRPr="00BE21DC">
        <w:rPr>
          <w:rFonts w:ascii="Times New Roman" w:hAnsi="Times New Roman"/>
          <w:b/>
          <w:noProof/>
          <w:color w:val="000000"/>
          <w:sz w:val="24"/>
          <w:szCs w:val="24"/>
          <w:lang w:val="sq-AL"/>
        </w:rPr>
        <w:t xml:space="preserve"> </w:t>
      </w:r>
      <w:r w:rsidR="009A001B" w:rsidRPr="00BE21DC">
        <w:rPr>
          <w:rFonts w:ascii="Times New Roman" w:hAnsi="Times New Roman"/>
          <w:noProof/>
          <w:color w:val="000000"/>
          <w:sz w:val="24"/>
          <w:szCs w:val="24"/>
          <w:lang w:val="sq-AL"/>
        </w:rPr>
        <w:t>Gjithashtu, P</w:t>
      </w:r>
      <w:r w:rsidRPr="00BE21DC">
        <w:rPr>
          <w:rFonts w:ascii="Times New Roman" w:hAnsi="Times New Roman"/>
          <w:color w:val="000000"/>
          <w:sz w:val="24"/>
          <w:szCs w:val="24"/>
          <w:lang w:val="sq-AL"/>
        </w:rPr>
        <w:t>rokuroria e Përgjithshme është angazhuar dhe ka kontribuar</w:t>
      </w:r>
      <w:r w:rsidR="009A001B" w:rsidRPr="00BE21DC">
        <w:rPr>
          <w:rFonts w:ascii="Times New Roman" w:hAnsi="Times New Roman"/>
          <w:color w:val="000000"/>
          <w:sz w:val="24"/>
          <w:szCs w:val="24"/>
          <w:lang w:val="sq-AL"/>
        </w:rPr>
        <w:t xml:space="preserve"> n</w:t>
      </w:r>
      <w:r w:rsidR="00BD3D5F" w:rsidRPr="00BE21D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BE21DC">
        <w:rPr>
          <w:rFonts w:ascii="Times New Roman" w:hAnsi="Times New Roman"/>
          <w:color w:val="000000"/>
          <w:sz w:val="24"/>
          <w:szCs w:val="24"/>
          <w:lang w:val="sq-AL"/>
        </w:rPr>
        <w:t xml:space="preserve"> raportimin periodik të progresit </w:t>
      </w:r>
      <w:r w:rsidRPr="00BE21DC">
        <w:rPr>
          <w:rFonts w:ascii="Times New Roman" w:hAnsi="Times New Roman"/>
          <w:noProof/>
          <w:color w:val="000000"/>
          <w:sz w:val="24"/>
          <w:szCs w:val="24"/>
          <w:lang w:val="sq-AL"/>
        </w:rPr>
        <w:t xml:space="preserve">në kuadrin e zbatimit të rekomandimeve </w:t>
      </w:r>
      <w:r w:rsidR="009A001B" w:rsidRPr="00BE21DC">
        <w:rPr>
          <w:rFonts w:ascii="Times New Roman" w:hAnsi="Times New Roman"/>
          <w:noProof/>
          <w:color w:val="000000"/>
          <w:sz w:val="24"/>
          <w:szCs w:val="24"/>
          <w:lang w:val="sq-AL"/>
        </w:rPr>
        <w:t>t</w:t>
      </w:r>
      <w:r w:rsidR="00BD3D5F" w:rsidRPr="00BE21DC">
        <w:rPr>
          <w:rFonts w:ascii="Times New Roman" w:hAnsi="Times New Roman"/>
          <w:noProof/>
          <w:color w:val="000000"/>
          <w:sz w:val="24"/>
          <w:szCs w:val="24"/>
          <w:lang w:val="sq-AL"/>
        </w:rPr>
        <w:t>ë</w:t>
      </w:r>
      <w:r w:rsidR="009A001B" w:rsidRPr="00BE21DC">
        <w:rPr>
          <w:rFonts w:ascii="Times New Roman" w:hAnsi="Times New Roman"/>
          <w:noProof/>
          <w:color w:val="000000"/>
          <w:sz w:val="24"/>
          <w:szCs w:val="24"/>
          <w:lang w:val="sq-AL"/>
        </w:rPr>
        <w:t xml:space="preserve"> </w:t>
      </w:r>
      <w:r w:rsidRPr="00BE21DC">
        <w:rPr>
          <w:rFonts w:ascii="Times New Roman" w:hAnsi="Times New Roman"/>
          <w:color w:val="000000"/>
          <w:sz w:val="24"/>
          <w:szCs w:val="24"/>
          <w:lang w:val="sq-AL"/>
        </w:rPr>
        <w:t>Moneyval dhe planit të veprimit FATF/ICRG</w:t>
      </w:r>
      <w:r w:rsidRPr="00BE21DC">
        <w:rPr>
          <w:rFonts w:ascii="Times New Roman" w:hAnsi="Times New Roman"/>
          <w:b/>
          <w:noProof/>
          <w:color w:val="000000"/>
          <w:sz w:val="24"/>
          <w:szCs w:val="24"/>
          <w:lang w:val="sq-AL"/>
        </w:rPr>
        <w:t xml:space="preserve">. </w:t>
      </w:r>
    </w:p>
    <w:p w:rsidR="00F14430" w:rsidRPr="00BE21DC" w:rsidRDefault="00F14430" w:rsidP="00F14430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F14430" w:rsidRPr="00BE21DC" w:rsidRDefault="00052A8E" w:rsidP="00F14430">
      <w:pPr>
        <w:spacing w:after="0"/>
        <w:ind w:firstLine="360"/>
        <w:jc w:val="both"/>
        <w:rPr>
          <w:rFonts w:ascii="Times New Roman" w:hAnsi="Times New Roman"/>
          <w:b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>4</w:t>
      </w:r>
      <w:r w:rsidR="00F14430" w:rsidRPr="00BE21DC">
        <w:rPr>
          <w:rFonts w:ascii="Times New Roman" w:hAnsi="Times New Roman"/>
          <w:b/>
          <w:noProof/>
          <w:sz w:val="24"/>
          <w:szCs w:val="24"/>
          <w:lang w:val="sq-AL"/>
        </w:rPr>
        <w:t>. Monitorimi, gjendja, problematikat dhe mbështetja që kërkohet</w:t>
      </w:r>
    </w:p>
    <w:p w:rsidR="00F14430" w:rsidRPr="00BE21DC" w:rsidRDefault="00F14430" w:rsidP="00F14430">
      <w:pPr>
        <w:spacing w:after="0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:rsidR="003F7AAA" w:rsidRPr="00BE21DC" w:rsidRDefault="00F14430" w:rsidP="003F7AAA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  <w:lang w:val="sq-AL"/>
        </w:rPr>
        <w:t>i) Prokurori i Përgjithshëm, në kuadrin e mbikëqyrjes së zbatimit të udhëzimeve të përgjithshme dhe kujdesit për ushtrimin e kompetencave kushtetuese dhe ligjore të prokurorisë</w:t>
      </w:r>
      <w:r w:rsidRPr="00BE21DC">
        <w:rPr>
          <w:rFonts w:ascii="Times New Roman" w:hAnsi="Times New Roman"/>
          <w:b/>
          <w:noProof/>
          <w:sz w:val="24"/>
          <w:szCs w:val="24"/>
          <w:lang w:val="sq-AL"/>
        </w:rPr>
        <w:t>, në mbështetje të nenit 148/b shkronja “b” e Kushtetutës, neneve 38 pika 2 shkronjat “b”, “c”, “f”, 104 pika 2 e vijues të ligjit nr.97/2016 i ndryshuar,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për të monitoruar si zbatimin, ashtu dhe si kanë ndikuar udhëzimet e përgjithshme në gjendjen e kriminalitetit në fushat e rekomanduara dhe efektivitetin e ushtrimit të ndjekjes penale në fushat përkatëse, gjatë vitit 202</w:t>
      </w:r>
      <w:r w:rsidR="009A001B" w:rsidRPr="00BE21DC">
        <w:rPr>
          <w:rFonts w:ascii="Times New Roman" w:hAnsi="Times New Roman"/>
          <w:noProof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, periodikisht i ka kërkuar informacione drejtuesve të prokurorive me juridiksion të përgjithshëm lidhur me masat e marra në zbatim të kompetencave ligjore të tyre, nëse kanë nxjerrë udhëzime të përgjithshme për të lehtësuar zbatimin e udhëzimeve të Prokurorit të Përgjithshëm, dhe nëse kanë marrë masa, për koordimin e veprimtarisë me prokuroritë e tjera, apo për kërkimin e informacionit për ecurinë e procedimeve dhe/ose për nxjerrjen e udhëzimeve jo të detyrueshme për prokurorët lidhur me çështje konkrete, apo nxjerrjen e urdhërave për policinë gjyqësore lidhur me ushtrimin e funksioneve të tyre, me synim që të sigurojnë efiçencën, ligjshmërinë dhe transparencën në veprimtarinë e prokurorisë, dhe efektivitetin në ushtrimin e ndjekjes penale nga prokurorët e prokurorisë që drejtojnë, duke garantuar pavarësinë e prokurorit në ushtrimin e funksioneve kushtetuese e ligjore. </w:t>
      </w:r>
    </w:p>
    <w:p w:rsidR="003F7AAA" w:rsidRPr="00BE21DC" w:rsidRDefault="003F7AAA" w:rsidP="003F7AA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F7AAA" w:rsidRPr="00BE21DC" w:rsidRDefault="00F14430" w:rsidP="00F1443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 xml:space="preserve">ii)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vështrim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marrëdhëniet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drejtuesit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lidhur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veprimtarinë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organizative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tyre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janë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evidentuar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>: -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problem</w:t>
      </w:r>
      <w:r w:rsidR="00187EE2" w:rsidRPr="00BE21DC">
        <w:rPr>
          <w:rFonts w:ascii="Times New Roman" w:hAnsi="Times New Roman"/>
          <w:sz w:val="24"/>
          <w:szCs w:val="24"/>
        </w:rPr>
        <w:t>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cilësinë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informimit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raporteve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përcil</w:t>
      </w:r>
      <w:r w:rsidR="00187EE2" w:rsidRPr="00BE21DC">
        <w:rPr>
          <w:rFonts w:ascii="Times New Roman" w:hAnsi="Times New Roman"/>
          <w:sz w:val="24"/>
          <w:szCs w:val="24"/>
        </w:rPr>
        <w:t>l</w:t>
      </w:r>
      <w:r w:rsidR="003F7AAA" w:rsidRPr="00BE21DC">
        <w:rPr>
          <w:rFonts w:ascii="Times New Roman" w:hAnsi="Times New Roman"/>
          <w:sz w:val="24"/>
          <w:szCs w:val="24"/>
        </w:rPr>
        <w:t>en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nga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prokuroritë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rretheve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Prokurorin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Përgjithshme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sipas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përcaktimeve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aktet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ligjore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nënligjore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>, -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idhur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ecurinë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veprimtarisë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prokurorive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drejtojnë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dhënat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statistikore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periodike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kërkesat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informacion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raportimet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periodike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tre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mujore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etj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>; -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mospërmbushje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kërkesave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raportim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>/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ose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informim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sipas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ligjit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zbatimit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udhëzimeve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përgjithshme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7AAA" w:rsidRPr="00BE21DC">
        <w:rPr>
          <w:rFonts w:ascii="Times New Roman" w:hAnsi="Times New Roman"/>
          <w:sz w:val="24"/>
          <w:szCs w:val="24"/>
        </w:rPr>
        <w:t>etj</w:t>
      </w:r>
      <w:proofErr w:type="spellEnd"/>
      <w:r w:rsidR="003F7AAA" w:rsidRPr="00BE21DC">
        <w:rPr>
          <w:rFonts w:ascii="Times New Roman" w:hAnsi="Times New Roman"/>
          <w:sz w:val="24"/>
          <w:szCs w:val="24"/>
        </w:rPr>
        <w:t>.</w:t>
      </w:r>
    </w:p>
    <w:p w:rsidR="003F7AAA" w:rsidRPr="00BE21DC" w:rsidRDefault="003F7AAA" w:rsidP="00F1443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14430" w:rsidRPr="00BE21DC" w:rsidRDefault="003F7AAA" w:rsidP="00F1443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 xml:space="preserve">iii)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Konkretisht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lidhur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informacionet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përcjella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nga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drejtuesit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prokurorive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masat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marra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zbatim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udhëzimeve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përgjithshme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akteve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nënligjore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tjera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evidentohet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se: </w:t>
      </w:r>
    </w:p>
    <w:p w:rsidR="00F14430" w:rsidRPr="00BE21DC" w:rsidRDefault="00F14430" w:rsidP="00F1443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disa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drejtuesit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sipas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ligjit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marrë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si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masa administrative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nxjerrjen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>/</w:t>
      </w:r>
      <w:proofErr w:type="spellStart"/>
      <w:r w:rsidRPr="00BE21DC">
        <w:rPr>
          <w:rFonts w:ascii="Times New Roman" w:hAnsi="Times New Roman"/>
          <w:sz w:val="24"/>
          <w:szCs w:val="24"/>
        </w:rPr>
        <w:t>ose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hartimin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planeve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veprimit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lehtësuar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zbatimin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planeve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veprimit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ashtu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BE21DC">
        <w:rPr>
          <w:rFonts w:ascii="Times New Roman" w:hAnsi="Times New Roman"/>
          <w:sz w:val="24"/>
          <w:szCs w:val="24"/>
        </w:rPr>
        <w:t>proceduriale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nxjerrjen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detyrueshme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>/</w:t>
      </w:r>
      <w:proofErr w:type="spellStart"/>
      <w:r w:rsidRPr="00BE21DC">
        <w:rPr>
          <w:rFonts w:ascii="Times New Roman" w:hAnsi="Times New Roman"/>
          <w:sz w:val="24"/>
          <w:szCs w:val="24"/>
        </w:rPr>
        <w:t>ose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kërkuar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informacion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prokurorëve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ecurinë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çështje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konkrete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BE21DC">
        <w:rPr>
          <w:rFonts w:ascii="Times New Roman" w:hAnsi="Times New Roman"/>
          <w:sz w:val="24"/>
          <w:szCs w:val="24"/>
        </w:rPr>
        <w:t>garantuar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pavarësinë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tyre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;  </w:t>
      </w:r>
    </w:p>
    <w:p w:rsidR="00F14430" w:rsidRPr="00BE21DC" w:rsidRDefault="00F14430" w:rsidP="00F1443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disa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tjera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drejtuesit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nuk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paraqitur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dhëna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mbi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masa administrative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proceduriale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zbatimin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planeve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veprimit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nxjerrë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zbatim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Rezolutës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Kuvendit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rekomandimeve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prioritare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KM, </w:t>
      </w:r>
      <w:proofErr w:type="spellStart"/>
      <w:r w:rsidRPr="00BE21DC">
        <w:rPr>
          <w:rFonts w:ascii="Times New Roman" w:hAnsi="Times New Roman"/>
          <w:sz w:val="24"/>
          <w:szCs w:val="24"/>
        </w:rPr>
        <w:t>apo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nxjerrjen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udhëzimeve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detyrueshme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çështje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konkrete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BE21DC">
        <w:rPr>
          <w:rFonts w:ascii="Times New Roman" w:hAnsi="Times New Roman"/>
          <w:sz w:val="24"/>
          <w:szCs w:val="24"/>
        </w:rPr>
        <w:t>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zbatuar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ato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pjesërisht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apo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mangësi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ndërsa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konstatohet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gjithashtu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ka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mangësi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apo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vonesa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informimin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mbi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zbatimin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udhëzimeve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ngritjes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infrastrukturës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përkatëse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administrative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lehtësimin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kushteve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zbatimin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color w:val="000000"/>
          <w:sz w:val="24"/>
          <w:szCs w:val="24"/>
        </w:rPr>
        <w:t>tyre</w:t>
      </w:r>
      <w:proofErr w:type="spellEnd"/>
      <w:r w:rsidRPr="00BE21D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14430" w:rsidRPr="00BE21DC" w:rsidRDefault="00F14430" w:rsidP="00F14430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4430" w:rsidRPr="00BE21DC" w:rsidRDefault="00D63116" w:rsidP="00F1443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 xml:space="preserve">iv)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kuadrin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paraqitjes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Prokurorit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nga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drejtuesit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prokurorive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brenda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muajit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shkurt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202</w:t>
      </w:r>
      <w:r w:rsidRPr="00BE21DC">
        <w:rPr>
          <w:rFonts w:ascii="Times New Roman" w:hAnsi="Times New Roman"/>
          <w:sz w:val="24"/>
          <w:szCs w:val="24"/>
        </w:rPr>
        <w:t>2</w:t>
      </w:r>
      <w:r w:rsidR="00FC4162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C41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162" w:rsidRPr="00BE21DC">
        <w:rPr>
          <w:rFonts w:ascii="Times New Roman" w:hAnsi="Times New Roman"/>
          <w:sz w:val="24"/>
          <w:szCs w:val="24"/>
        </w:rPr>
        <w:t>r</w:t>
      </w:r>
      <w:r w:rsidR="00F14430" w:rsidRPr="00BE21DC">
        <w:rPr>
          <w:rFonts w:ascii="Times New Roman" w:hAnsi="Times New Roman"/>
          <w:sz w:val="24"/>
          <w:szCs w:val="24"/>
        </w:rPr>
        <w:t>aportit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vjetor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mbi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ecurinë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punës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prokurorive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vitin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202</w:t>
      </w:r>
      <w:r w:rsidRPr="00BE21DC">
        <w:rPr>
          <w:rFonts w:ascii="Times New Roman" w:hAnsi="Times New Roman"/>
          <w:sz w:val="24"/>
          <w:szCs w:val="24"/>
        </w:rPr>
        <w:t>1</w:t>
      </w:r>
      <w:r w:rsidR="00F14430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janë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verifikuar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vlerësuar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raportet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nëse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paraqitja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, forma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përmbajtja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tyre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është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përqasje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ligjin</w:t>
      </w:r>
      <w:proofErr w:type="spellEnd"/>
      <w:r w:rsidR="00F14430" w:rsidRPr="00BE21DC">
        <w:rPr>
          <w:rStyle w:val="FootnoteReference"/>
          <w:rFonts w:ascii="Times New Roman" w:hAnsi="Times New Roman"/>
          <w:sz w:val="24"/>
          <w:szCs w:val="24"/>
        </w:rPr>
        <w:footnoteReference w:id="10"/>
      </w:r>
      <w:r w:rsidR="00F14430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standartet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përcaktuara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aktin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normativ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apo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kërkesat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Prokurorit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Përgjithshëm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si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është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konstatuar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probleme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raport</w:t>
      </w:r>
      <w:r w:rsidR="00A166DE" w:rsidRPr="00BE21DC">
        <w:rPr>
          <w:rFonts w:ascii="Times New Roman" w:hAnsi="Times New Roman"/>
          <w:sz w:val="24"/>
          <w:szCs w:val="24"/>
        </w:rPr>
        <w:t>et</w:t>
      </w:r>
      <w:proofErr w:type="spellEnd"/>
      <w:r w:rsidR="00A166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66DE" w:rsidRPr="00BE21DC">
        <w:rPr>
          <w:rFonts w:ascii="Times New Roman" w:hAnsi="Times New Roman"/>
          <w:sz w:val="24"/>
          <w:szCs w:val="24"/>
        </w:rPr>
        <w:t>vjetore</w:t>
      </w:r>
      <w:proofErr w:type="spellEnd"/>
      <w:r w:rsidR="00A166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66DE"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punës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66DE" w:rsidRPr="00BE21DC">
        <w:rPr>
          <w:rFonts w:ascii="Times New Roman" w:hAnsi="Times New Roman"/>
          <w:sz w:val="24"/>
          <w:szCs w:val="24"/>
        </w:rPr>
        <w:t>nga</w:t>
      </w:r>
      <w:proofErr w:type="spellEnd"/>
      <w:r w:rsidR="00A166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ana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87EE2" w:rsidRPr="00BE21DC">
        <w:rPr>
          <w:rFonts w:ascii="Times New Roman" w:hAnsi="Times New Roman"/>
          <w:sz w:val="24"/>
          <w:szCs w:val="24"/>
        </w:rPr>
        <w:t>disa</w:t>
      </w:r>
      <w:proofErr w:type="spellEnd"/>
      <w:r w:rsidR="00187EE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66DE" w:rsidRPr="00BE21DC">
        <w:rPr>
          <w:rFonts w:ascii="Times New Roman" w:hAnsi="Times New Roman"/>
          <w:sz w:val="24"/>
          <w:szCs w:val="24"/>
        </w:rPr>
        <w:t>drejtuesve</w:t>
      </w:r>
      <w:proofErr w:type="spellEnd"/>
      <w:r w:rsidR="00A166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66DE"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A166D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prokurorive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: </w:t>
      </w:r>
    </w:p>
    <w:p w:rsidR="00F14430" w:rsidRPr="00BE21DC" w:rsidRDefault="00CA278F" w:rsidP="00F1443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>-</w:t>
      </w:r>
      <w:proofErr w:type="spellStart"/>
      <w:r w:rsidRPr="00BE21DC">
        <w:rPr>
          <w:rFonts w:ascii="Times New Roman" w:hAnsi="Times New Roman"/>
          <w:sz w:val="24"/>
          <w:szCs w:val="24"/>
        </w:rPr>
        <w:t>P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to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arsye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n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kuadrin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miratimit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rmbajtjes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raportit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vjetor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</w:t>
      </w:r>
      <w:r w:rsidR="004F4131" w:rsidRPr="00BE21DC">
        <w:rPr>
          <w:rFonts w:ascii="Times New Roman" w:hAnsi="Times New Roman"/>
          <w:sz w:val="24"/>
          <w:szCs w:val="24"/>
        </w:rPr>
        <w:t>ve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p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4F4131" w:rsidRPr="00BE21DC">
        <w:rPr>
          <w:rFonts w:ascii="Times New Roman" w:hAnsi="Times New Roman"/>
          <w:sz w:val="24"/>
          <w:szCs w:val="24"/>
        </w:rPr>
        <w:t>rkat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4F4131" w:rsidRPr="00BE21DC">
        <w:rPr>
          <w:rFonts w:ascii="Times New Roman" w:hAnsi="Times New Roman"/>
          <w:sz w:val="24"/>
          <w:szCs w:val="24"/>
        </w:rPr>
        <w:t>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D5F" w:rsidRPr="00BE21DC">
        <w:rPr>
          <w:rFonts w:ascii="Times New Roman" w:hAnsi="Times New Roman"/>
          <w:sz w:val="24"/>
          <w:szCs w:val="24"/>
        </w:rPr>
        <w:t>ë</w:t>
      </w:r>
      <w:r w:rsidRPr="00BE21DC">
        <w:rPr>
          <w:rFonts w:ascii="Times New Roman" w:hAnsi="Times New Roman"/>
          <w:sz w:val="24"/>
          <w:szCs w:val="24"/>
        </w:rPr>
        <w:t>sht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62209C" w:rsidRPr="00BE21DC">
        <w:rPr>
          <w:rFonts w:ascii="Times New Roman" w:hAnsi="Times New Roman"/>
          <w:sz w:val="24"/>
          <w:szCs w:val="24"/>
        </w:rPr>
        <w:t>rkuar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nga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drejtuesit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prokurorive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q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raporti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plot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4F4131" w:rsidRPr="00BE21DC">
        <w:rPr>
          <w:rFonts w:ascii="Times New Roman" w:hAnsi="Times New Roman"/>
          <w:sz w:val="24"/>
          <w:szCs w:val="24"/>
        </w:rPr>
        <w:t>sohet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lidhur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mang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4F4131" w:rsidRPr="00BE21DC">
        <w:rPr>
          <w:rFonts w:ascii="Times New Roman" w:hAnsi="Times New Roman"/>
          <w:sz w:val="24"/>
          <w:szCs w:val="24"/>
        </w:rPr>
        <w:t>sit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konstatuara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rid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4F4131" w:rsidRPr="00BE21DC">
        <w:rPr>
          <w:rFonts w:ascii="Times New Roman" w:hAnsi="Times New Roman"/>
          <w:sz w:val="24"/>
          <w:szCs w:val="24"/>
        </w:rPr>
        <w:t>rgohet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sipas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ligjit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p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187EE2" w:rsidRPr="00BE21DC">
        <w:rPr>
          <w:rFonts w:ascii="Times New Roman" w:hAnsi="Times New Roman"/>
          <w:sz w:val="24"/>
          <w:szCs w:val="24"/>
        </w:rPr>
        <w:t>r</w:t>
      </w:r>
      <w:proofErr w:type="spellEnd"/>
      <w:r w:rsidR="00187EE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7EE2" w:rsidRPr="00BE21DC">
        <w:rPr>
          <w:rFonts w:ascii="Times New Roman" w:hAnsi="Times New Roman"/>
          <w:sz w:val="24"/>
          <w:szCs w:val="24"/>
        </w:rPr>
        <w:t>p</w:t>
      </w:r>
      <w:r w:rsidR="004F4131" w:rsidRPr="00BE21DC">
        <w:rPr>
          <w:rFonts w:ascii="Times New Roman" w:hAnsi="Times New Roman"/>
          <w:sz w:val="24"/>
          <w:szCs w:val="24"/>
        </w:rPr>
        <w:t>ublikimin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n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faqen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zyrtare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n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Prokurorin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F4131" w:rsidRPr="00BE21DC">
        <w:rPr>
          <w:rFonts w:ascii="Times New Roman" w:hAnsi="Times New Roman"/>
          <w:sz w:val="24"/>
          <w:szCs w:val="24"/>
        </w:rPr>
        <w:t>P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4F4131" w:rsidRPr="00BE21DC">
        <w:rPr>
          <w:rFonts w:ascii="Times New Roman" w:hAnsi="Times New Roman"/>
          <w:sz w:val="24"/>
          <w:szCs w:val="24"/>
        </w:rPr>
        <w:t>rgjithshme</w:t>
      </w:r>
      <w:proofErr w:type="spellEnd"/>
      <w:r w:rsidR="004F4131" w:rsidRPr="00BE21DC">
        <w:rPr>
          <w:rFonts w:ascii="Times New Roman" w:hAnsi="Times New Roman"/>
          <w:sz w:val="24"/>
          <w:szCs w:val="24"/>
        </w:rPr>
        <w:t>.</w:t>
      </w:r>
    </w:p>
    <w:p w:rsidR="00F14430" w:rsidRPr="00BE21DC" w:rsidRDefault="00F14430" w:rsidP="00F14430">
      <w:pPr>
        <w:spacing w:after="0"/>
        <w:ind w:firstLine="360"/>
        <w:jc w:val="both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:rsidR="008C6FFF" w:rsidRPr="00BE21DC" w:rsidRDefault="00A166DE" w:rsidP="008C6FFF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>v</w:t>
      </w:r>
      <w:r w:rsidR="00F14430" w:rsidRPr="00BE21D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37E7E" w:rsidRPr="00BE21DC">
        <w:rPr>
          <w:rFonts w:ascii="Times New Roman" w:hAnsi="Times New Roman"/>
          <w:sz w:val="24"/>
          <w:szCs w:val="24"/>
        </w:rPr>
        <w:t>N</w:t>
      </w:r>
      <w:r w:rsidR="00F14430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hAnsi="Times New Roman"/>
          <w:sz w:val="24"/>
          <w:szCs w:val="24"/>
        </w:rPr>
        <w:t>v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837E7E" w:rsidRPr="00BE21DC">
        <w:rPr>
          <w:rFonts w:ascii="Times New Roman" w:hAnsi="Times New Roman"/>
          <w:sz w:val="24"/>
          <w:szCs w:val="24"/>
        </w:rPr>
        <w:t>shtrimin</w:t>
      </w:r>
      <w:proofErr w:type="spellEnd"/>
      <w:r w:rsidR="00837E7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837E7E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vlerësimin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institucional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konstatojmë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vlerësojmë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rregullimi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ligjor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aktual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vështirëson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lidhjen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organike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efektive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mes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drejtuesve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prokurorive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prokuroritë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shkallës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parë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apeleve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Prokurorinë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Përgjithshme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kuptim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ushtrimit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detyrave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ligjore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kushtetuese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ndërkohë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angazhimet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institucionale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dalin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nga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rezoluta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Kuvendit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Shqipërisë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rekomandimet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Këshillit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Ministrave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apo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raportet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organizma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tjerë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ndërkombëtarë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kërkojnë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një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nivel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më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lartë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kohezioni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430" w:rsidRPr="00BE21DC">
        <w:rPr>
          <w:rFonts w:ascii="Times New Roman" w:hAnsi="Times New Roman"/>
          <w:sz w:val="24"/>
          <w:szCs w:val="24"/>
        </w:rPr>
        <w:t>institucional</w:t>
      </w:r>
      <w:proofErr w:type="spellEnd"/>
      <w:r w:rsidR="00F14430" w:rsidRPr="00BE21D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C6FFF" w:rsidRPr="00BE21DC">
        <w:rPr>
          <w:rFonts w:ascii="Times New Roman" w:eastAsia="Times New Roman" w:hAnsi="Times New Roman"/>
          <w:sz w:val="24"/>
          <w:szCs w:val="24"/>
        </w:rPr>
        <w:t>Gjithashtu</w:t>
      </w:r>
      <w:proofErr w:type="spellEnd"/>
      <w:r w:rsidR="008C6FFF" w:rsidRPr="00BE21D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C6FFF" w:rsidRPr="00BE21DC">
        <w:rPr>
          <w:rFonts w:ascii="Times New Roman" w:eastAsia="Times New Roman" w:hAnsi="Times New Roman"/>
          <w:sz w:val="24"/>
          <w:szCs w:val="24"/>
        </w:rPr>
        <w:t>vlerësimi</w:t>
      </w:r>
      <w:proofErr w:type="spellEnd"/>
      <w:r w:rsidR="008C6FFF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6FFF" w:rsidRPr="00BE21DC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C6FFF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6FFF" w:rsidRPr="00BE21DC">
        <w:rPr>
          <w:rFonts w:ascii="Times New Roman" w:eastAsia="Times New Roman" w:hAnsi="Times New Roman"/>
          <w:sz w:val="24"/>
          <w:szCs w:val="24"/>
        </w:rPr>
        <w:t>pe</w:t>
      </w:r>
      <w:r w:rsidR="00837E7E" w:rsidRPr="00BE21DC">
        <w:rPr>
          <w:rFonts w:ascii="Times New Roman" w:eastAsia="Times New Roman" w:hAnsi="Times New Roman"/>
          <w:sz w:val="24"/>
          <w:szCs w:val="24"/>
        </w:rPr>
        <w:t>rformancës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çmojmë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kërkon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një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përfshirje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më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madhe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Prokurorit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Përgjithshëm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procesin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llogaridhënies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evidentimit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përgjegjësive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zbatimin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masave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administrative e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organizative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kohë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ka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impakt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mbi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funksionimin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përditshmërinë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aktivitetit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37E7E" w:rsidRPr="00BE21DC">
        <w:rPr>
          <w:rFonts w:ascii="Times New Roman" w:eastAsia="Times New Roman" w:hAnsi="Times New Roman"/>
          <w:sz w:val="24"/>
          <w:szCs w:val="24"/>
        </w:rPr>
        <w:t>prokurorive</w:t>
      </w:r>
      <w:proofErr w:type="spellEnd"/>
      <w:r w:rsidR="00837E7E" w:rsidRPr="00BE21DC">
        <w:rPr>
          <w:rFonts w:ascii="Times New Roman" w:eastAsia="Times New Roman" w:hAnsi="Times New Roman"/>
          <w:sz w:val="24"/>
          <w:szCs w:val="24"/>
        </w:rPr>
        <w:t xml:space="preserve"> m</w:t>
      </w:r>
      <w:r w:rsidR="008C6FFF" w:rsidRPr="00BE21DC">
        <w:rPr>
          <w:rFonts w:ascii="Times New Roman" w:eastAsia="Times New Roman" w:hAnsi="Times New Roman"/>
          <w:sz w:val="24"/>
          <w:szCs w:val="24"/>
        </w:rPr>
        <w:t xml:space="preserve">e </w:t>
      </w:r>
      <w:proofErr w:type="spellStart"/>
      <w:r w:rsidR="008C6FFF" w:rsidRPr="00BE21DC">
        <w:rPr>
          <w:rFonts w:ascii="Times New Roman" w:eastAsia="Times New Roman" w:hAnsi="Times New Roman"/>
          <w:sz w:val="24"/>
          <w:szCs w:val="24"/>
        </w:rPr>
        <w:t>juridiksion</w:t>
      </w:r>
      <w:proofErr w:type="spellEnd"/>
      <w:r w:rsidR="008C6FFF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6FFF" w:rsidRPr="00BE21DC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="008C6FFF" w:rsidRPr="00BE21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C6FFF" w:rsidRPr="00BE21DC">
        <w:rPr>
          <w:rFonts w:ascii="Times New Roman" w:eastAsia="Times New Roman" w:hAnsi="Times New Roman"/>
          <w:sz w:val="24"/>
          <w:szCs w:val="24"/>
        </w:rPr>
        <w:t>përgjithshëm</w:t>
      </w:r>
      <w:proofErr w:type="spellEnd"/>
      <w:r w:rsidR="008C6FFF" w:rsidRPr="00BE21DC">
        <w:rPr>
          <w:rFonts w:ascii="Times New Roman" w:eastAsia="Times New Roman" w:hAnsi="Times New Roman"/>
          <w:sz w:val="24"/>
          <w:szCs w:val="24"/>
        </w:rPr>
        <w:t>. </w:t>
      </w:r>
    </w:p>
    <w:p w:rsidR="00837E7E" w:rsidRPr="00BE21DC" w:rsidRDefault="008C6FFF" w:rsidP="008C6FFF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BE21DC">
        <w:rPr>
          <w:rFonts w:ascii="Times New Roman" w:hAnsi="Times New Roman"/>
          <w:sz w:val="24"/>
          <w:szCs w:val="24"/>
        </w:rPr>
        <w:t xml:space="preserve"> </w:t>
      </w:r>
    </w:p>
    <w:p w:rsidR="00F14430" w:rsidRPr="00BE21DC" w:rsidRDefault="00F14430" w:rsidP="00F14430">
      <w:pPr>
        <w:ind w:firstLine="360"/>
        <w:rPr>
          <w:rFonts w:ascii="Times New Roman" w:hAnsi="Times New Roman"/>
          <w:b/>
          <w:smallCaps/>
          <w:sz w:val="24"/>
          <w:szCs w:val="24"/>
        </w:rPr>
      </w:pPr>
      <w:r w:rsidRPr="00BE21DC">
        <w:rPr>
          <w:rFonts w:ascii="Times New Roman" w:hAnsi="Times New Roman"/>
          <w:b/>
          <w:smallCaps/>
          <w:sz w:val="24"/>
          <w:szCs w:val="24"/>
        </w:rPr>
        <w:t>I</w:t>
      </w:r>
      <w:r w:rsidR="00922CEB">
        <w:rPr>
          <w:rFonts w:ascii="Times New Roman" w:hAnsi="Times New Roman"/>
          <w:b/>
          <w:smallCaps/>
          <w:sz w:val="24"/>
          <w:szCs w:val="24"/>
        </w:rPr>
        <w:t>II</w:t>
      </w:r>
      <w:r w:rsidRPr="00BE21DC">
        <w:rPr>
          <w:rFonts w:ascii="Times New Roman" w:hAnsi="Times New Roman"/>
          <w:b/>
          <w:smallCaps/>
          <w:sz w:val="24"/>
          <w:szCs w:val="24"/>
        </w:rPr>
        <w:t xml:space="preserve">.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Bashkëpunimi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mallCaps/>
          <w:sz w:val="24"/>
          <w:szCs w:val="24"/>
        </w:rPr>
        <w:t>mbështetja</w:t>
      </w:r>
      <w:proofErr w:type="spellEnd"/>
      <w:r w:rsidRPr="00BE21DC">
        <w:rPr>
          <w:rFonts w:ascii="Times New Roman" w:hAnsi="Times New Roman"/>
          <w:b/>
          <w:smallCaps/>
          <w:sz w:val="24"/>
          <w:szCs w:val="24"/>
        </w:rPr>
        <w:t xml:space="preserve"> </w:t>
      </w:r>
    </w:p>
    <w:p w:rsidR="00F14430" w:rsidRPr="00BE21DC" w:rsidRDefault="00F14430" w:rsidP="00F14430">
      <w:pPr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çdo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strukturë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bashkëpunimi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ndërinstitucional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përfshirja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proceset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konsultuese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akteve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ligjore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nënligjore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mbështetja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nga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projektet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misionet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ndërkombëtare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ka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qenë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një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aspekt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rëndësishëm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zhvillimin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objektivave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prioriteteve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institucionale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ndërinstitucionale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vendit</w:t>
      </w:r>
      <w:proofErr w:type="spellEnd"/>
      <w:r w:rsidRPr="00BE21DC">
        <w:rPr>
          <w:rFonts w:ascii="Times New Roman" w:hAnsi="Times New Roman"/>
          <w:sz w:val="24"/>
          <w:szCs w:val="24"/>
        </w:rPr>
        <w:t>.</w:t>
      </w:r>
    </w:p>
    <w:p w:rsidR="00F14430" w:rsidRPr="00BE21DC" w:rsidRDefault="00F14430" w:rsidP="00F14430">
      <w:pPr>
        <w:pStyle w:val="ListParagraph"/>
        <w:ind w:left="0" w:firstLine="36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BE21DC">
        <w:rPr>
          <w:rFonts w:ascii="Times New Roman" w:hAnsi="Times New Roman"/>
          <w:noProof/>
          <w:sz w:val="24"/>
          <w:szCs w:val="24"/>
          <w:lang w:val="sq-AL"/>
        </w:rPr>
        <w:t>Gjatë vitit 202</w:t>
      </w:r>
      <w:r w:rsidR="004F4131" w:rsidRPr="00BE21DC">
        <w:rPr>
          <w:rFonts w:ascii="Times New Roman" w:hAnsi="Times New Roman"/>
          <w:noProof/>
          <w:sz w:val="24"/>
          <w:szCs w:val="24"/>
          <w:lang w:val="sq-AL"/>
        </w:rPr>
        <w:t>1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Prokuroria e Përgjithshme ka kontribuar me dhënien e opinioneve për reformimin e kuadrit ligjor dhe nënligjor të dërguar për dhënie mendimi nga Ministria e Drejtësisë, Ministria e Brendshme, Min</w:t>
      </w:r>
      <w:r w:rsidR="004F4131" w:rsidRPr="00BE21DC">
        <w:rPr>
          <w:rFonts w:ascii="Times New Roman" w:hAnsi="Times New Roman"/>
          <w:noProof/>
          <w:sz w:val="24"/>
          <w:szCs w:val="24"/>
          <w:lang w:val="sq-AL"/>
        </w:rPr>
        <w:t>istria e Financës dhe Ekonomisë</w:t>
      </w:r>
      <w:r w:rsidR="00986362" w:rsidRPr="00BE21DC">
        <w:rPr>
          <w:rFonts w:ascii="Times New Roman" w:hAnsi="Times New Roman"/>
          <w:noProof/>
          <w:sz w:val="24"/>
          <w:szCs w:val="24"/>
          <w:lang w:val="sq-AL"/>
        </w:rPr>
        <w:t>, Ministrin</w:t>
      </w:r>
      <w:r w:rsidR="00BD3D5F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="00986362"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e Mbrojtjes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dhe Komisioni i Çështjeve Ligjeve dhe Komisioni i Sigurisë të Kuvendit të Shqipërisë</w:t>
      </w:r>
      <w:r w:rsidR="00986362" w:rsidRPr="00BE21DC">
        <w:rPr>
          <w:rFonts w:ascii="Times New Roman" w:hAnsi="Times New Roman"/>
          <w:noProof/>
          <w:sz w:val="24"/>
          <w:szCs w:val="24"/>
          <w:lang w:val="sq-AL"/>
        </w:rPr>
        <w:t>, etj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. Gjithashtu, kemi qenë proaktivë në identifikimin e nevojave për ndryshim në kuadrin ligjor, duke kërkuar edhe ushtrimin e nismave ligjore në institucionet përgjegjëse, ku përmendim ndryshimet në ligjin organik të prokurorisë për të mundësuar qasjen në bazat e të dhënave shtetërore, si dhe propozimet për ndryshime në Kodin Penal, </w:t>
      </w:r>
      <w:r w:rsidR="004F4131" w:rsidRPr="00BE21DC">
        <w:rPr>
          <w:rFonts w:ascii="Times New Roman" w:hAnsi="Times New Roman"/>
          <w:noProof/>
          <w:sz w:val="24"/>
          <w:szCs w:val="24"/>
          <w:lang w:val="sq-AL"/>
        </w:rPr>
        <w:t>Kodin e Procedur</w:t>
      </w:r>
      <w:r w:rsidR="00BD3D5F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="004F4131" w:rsidRPr="00BE21DC">
        <w:rPr>
          <w:rFonts w:ascii="Times New Roman" w:hAnsi="Times New Roman"/>
          <w:noProof/>
          <w:sz w:val="24"/>
          <w:szCs w:val="24"/>
          <w:lang w:val="sq-AL"/>
        </w:rPr>
        <w:t>s Penale dhe ligje t</w:t>
      </w:r>
      <w:r w:rsidR="00BD3D5F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="004F4131"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tjera n</w:t>
      </w:r>
      <w:r w:rsidR="00BD3D5F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="004F4131"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funksion t</w:t>
      </w:r>
      <w:r w:rsidR="00BD3D5F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="004F4131"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sistemit t</w:t>
      </w:r>
      <w:r w:rsidR="00BD3D5F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="004F4131"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drejt</w:t>
      </w:r>
      <w:r w:rsidR="00BD3D5F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="004F4131" w:rsidRPr="00BE21DC">
        <w:rPr>
          <w:rFonts w:ascii="Times New Roman" w:hAnsi="Times New Roman"/>
          <w:noProof/>
          <w:sz w:val="24"/>
          <w:szCs w:val="24"/>
          <w:lang w:val="sq-AL"/>
        </w:rPr>
        <w:t>sis</w:t>
      </w:r>
      <w:r w:rsidR="00BD3D5F" w:rsidRPr="00BE21DC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="004F4131"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 penale, </w:t>
      </w:r>
      <w:r w:rsidRPr="00BE21DC">
        <w:rPr>
          <w:rFonts w:ascii="Times New Roman" w:hAnsi="Times New Roman"/>
          <w:noProof/>
          <w:sz w:val="24"/>
          <w:szCs w:val="24"/>
          <w:lang w:val="sq-AL"/>
        </w:rPr>
        <w:t>etj.</w:t>
      </w:r>
    </w:p>
    <w:p w:rsidR="00F14430" w:rsidRPr="00BE21DC" w:rsidRDefault="00F14430" w:rsidP="00F14430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E21DC">
        <w:rPr>
          <w:rFonts w:ascii="Times New Roman" w:hAnsi="Times New Roman"/>
          <w:noProof/>
          <w:sz w:val="24"/>
          <w:szCs w:val="24"/>
          <w:lang w:val="sq-AL"/>
        </w:rPr>
        <w:t xml:space="preserve">Nga ana tjetër, është bashkëpunuar </w:t>
      </w:r>
      <w:proofErr w:type="spellStart"/>
      <w:r w:rsidRPr="00BE21DC">
        <w:rPr>
          <w:rFonts w:ascii="Times New Roman" w:hAnsi="Times New Roman"/>
          <w:sz w:val="24"/>
          <w:szCs w:val="24"/>
        </w:rPr>
        <w:t>përgjatë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vitit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202</w:t>
      </w:r>
      <w:r w:rsidR="004F4131" w:rsidRPr="00BE21DC">
        <w:rPr>
          <w:rFonts w:ascii="Times New Roman" w:hAnsi="Times New Roman"/>
          <w:sz w:val="24"/>
          <w:szCs w:val="24"/>
        </w:rPr>
        <w:t>1</w:t>
      </w:r>
      <w:r w:rsidRPr="00BE21D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sz w:val="24"/>
          <w:szCs w:val="24"/>
        </w:rPr>
        <w:t>Projektin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EURALIUS V,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p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986362" w:rsidRPr="00BE21DC">
        <w:rPr>
          <w:rFonts w:ascii="Times New Roman" w:hAnsi="Times New Roman"/>
          <w:sz w:val="24"/>
          <w:szCs w:val="24"/>
        </w:rPr>
        <w:t>r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identifikimin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gjendjes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teknike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t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sistemit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CAMS,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p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r w:rsidR="00986362" w:rsidRPr="00BE21DC">
        <w:rPr>
          <w:rFonts w:ascii="Times New Roman" w:hAnsi="Times New Roman"/>
          <w:sz w:val="24"/>
          <w:szCs w:val="24"/>
        </w:rPr>
        <w:t>rgatitjen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dy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sistemeve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PRESTO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veprimtarin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n</w:t>
      </w:r>
      <w:r w:rsidR="00BD3D5F" w:rsidRPr="00BE21DC">
        <w:rPr>
          <w:rFonts w:ascii="Times New Roman" w:hAnsi="Times New Roman"/>
          <w:sz w:val="24"/>
          <w:szCs w:val="24"/>
        </w:rPr>
        <w:t>ë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PP,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si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6362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986362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Projektin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PAMECA V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projektin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SIDA,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organizimin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trajnimeve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përmirësimin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kuadrit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nënligjor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rregullon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veprimtarinë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fusha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caktuara</w:t>
      </w:r>
      <w:proofErr w:type="spellEnd"/>
      <w:r w:rsidRPr="00BE21DC">
        <w:rPr>
          <w:rFonts w:ascii="Times New Roman" w:hAnsi="Times New Roman"/>
          <w:sz w:val="24"/>
          <w:szCs w:val="24"/>
        </w:rPr>
        <w:t>.</w:t>
      </w:r>
    </w:p>
    <w:p w:rsidR="00F14430" w:rsidRPr="00BE21DC" w:rsidRDefault="00F14430" w:rsidP="00F14430">
      <w:pPr>
        <w:ind w:firstLine="360"/>
        <w:rPr>
          <w:rFonts w:ascii="Times New Roman" w:hAnsi="Times New Roman"/>
          <w:b/>
          <w:sz w:val="24"/>
          <w:szCs w:val="24"/>
        </w:rPr>
      </w:pPr>
      <w:r w:rsidRPr="00BE21DC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Bashkëpunimi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me SPAK</w:t>
      </w:r>
    </w:p>
    <w:p w:rsidR="00F14430" w:rsidRPr="00BE21DC" w:rsidRDefault="00F14430" w:rsidP="00F14430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BE21DC">
        <w:rPr>
          <w:rFonts w:ascii="Times New Roman" w:hAnsi="Times New Roman" w:cs="Times New Roman"/>
          <w:lang w:val="en-GB"/>
        </w:rPr>
        <w:t>Bashkëpunimi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BE21DC">
        <w:rPr>
          <w:rFonts w:ascii="Times New Roman" w:hAnsi="Times New Roman" w:cs="Times New Roman"/>
          <w:lang w:val="en-GB"/>
        </w:rPr>
        <w:t>koordinimi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21DC">
        <w:rPr>
          <w:rFonts w:ascii="Times New Roman" w:hAnsi="Times New Roman" w:cs="Times New Roman"/>
          <w:lang w:val="en-GB"/>
        </w:rPr>
        <w:t>ndërmjet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21DC">
        <w:rPr>
          <w:rFonts w:ascii="Times New Roman" w:hAnsi="Times New Roman" w:cs="Times New Roman"/>
          <w:lang w:val="en-GB"/>
        </w:rPr>
        <w:t>prokurorive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21DC">
        <w:rPr>
          <w:rFonts w:ascii="Times New Roman" w:hAnsi="Times New Roman" w:cs="Times New Roman"/>
          <w:lang w:val="en-GB"/>
        </w:rPr>
        <w:t>të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21DC">
        <w:rPr>
          <w:rFonts w:ascii="Times New Roman" w:hAnsi="Times New Roman" w:cs="Times New Roman"/>
          <w:lang w:val="en-GB"/>
        </w:rPr>
        <w:t>juridiksionit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21DC">
        <w:rPr>
          <w:rFonts w:ascii="Times New Roman" w:hAnsi="Times New Roman" w:cs="Times New Roman"/>
          <w:lang w:val="en-GB"/>
        </w:rPr>
        <w:t>të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21DC">
        <w:rPr>
          <w:rFonts w:ascii="Times New Roman" w:hAnsi="Times New Roman" w:cs="Times New Roman"/>
          <w:lang w:val="en-GB"/>
        </w:rPr>
        <w:t>përgjithshëm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21DC">
        <w:rPr>
          <w:rFonts w:ascii="Times New Roman" w:hAnsi="Times New Roman" w:cs="Times New Roman"/>
          <w:lang w:val="en-GB"/>
        </w:rPr>
        <w:t>dhe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21DC">
        <w:rPr>
          <w:rFonts w:ascii="Times New Roman" w:hAnsi="Times New Roman" w:cs="Times New Roman"/>
          <w:lang w:val="en-GB"/>
        </w:rPr>
        <w:t>Prokurorisë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21DC">
        <w:rPr>
          <w:rFonts w:ascii="Times New Roman" w:hAnsi="Times New Roman" w:cs="Times New Roman"/>
          <w:lang w:val="en-GB"/>
        </w:rPr>
        <w:t>së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E21DC">
        <w:rPr>
          <w:rFonts w:ascii="Times New Roman" w:hAnsi="Times New Roman" w:cs="Times New Roman"/>
          <w:lang w:val="en-GB"/>
        </w:rPr>
        <w:t>Posaçme</w:t>
      </w:r>
      <w:proofErr w:type="spellEnd"/>
      <w:r w:rsidRPr="00BE21DC">
        <w:rPr>
          <w:rFonts w:ascii="Times New Roman" w:hAnsi="Times New Roman" w:cs="Times New Roman"/>
          <w:lang w:val="en-GB"/>
        </w:rPr>
        <w:t xml:space="preserve"> (SPAK) </w:t>
      </w:r>
      <w:proofErr w:type="spellStart"/>
      <w:r w:rsidR="00986362" w:rsidRPr="00BE21DC">
        <w:rPr>
          <w:rFonts w:ascii="Times New Roman" w:hAnsi="Times New Roman" w:cs="Times New Roman"/>
          <w:lang w:val="en-GB"/>
        </w:rPr>
        <w:t>p</w:t>
      </w:r>
      <w:r w:rsidR="00BD3D5F" w:rsidRPr="00BE21DC">
        <w:rPr>
          <w:rFonts w:ascii="Times New Roman" w:hAnsi="Times New Roman" w:cs="Times New Roman"/>
          <w:lang w:val="en-GB"/>
        </w:rPr>
        <w:t>ë</w:t>
      </w:r>
      <w:r w:rsidR="00986362" w:rsidRPr="00BE21DC">
        <w:rPr>
          <w:rFonts w:ascii="Times New Roman" w:hAnsi="Times New Roman" w:cs="Times New Roman"/>
          <w:lang w:val="en-GB"/>
        </w:rPr>
        <w:t>rgjat</w:t>
      </w:r>
      <w:r w:rsidR="00BD3D5F" w:rsidRPr="00BE21DC">
        <w:rPr>
          <w:rFonts w:ascii="Times New Roman" w:hAnsi="Times New Roman" w:cs="Times New Roman"/>
          <w:lang w:val="en-GB"/>
        </w:rPr>
        <w:t>ë</w:t>
      </w:r>
      <w:proofErr w:type="spellEnd"/>
      <w:r w:rsidR="00986362"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86362" w:rsidRPr="00BE21DC">
        <w:rPr>
          <w:rFonts w:ascii="Times New Roman" w:hAnsi="Times New Roman" w:cs="Times New Roman"/>
          <w:lang w:val="en-GB"/>
        </w:rPr>
        <w:t>vitit</w:t>
      </w:r>
      <w:proofErr w:type="spellEnd"/>
      <w:r w:rsidR="00986362" w:rsidRPr="00BE21DC">
        <w:rPr>
          <w:rFonts w:ascii="Times New Roman" w:hAnsi="Times New Roman" w:cs="Times New Roman"/>
          <w:lang w:val="en-GB"/>
        </w:rPr>
        <w:t xml:space="preserve"> 2021 </w:t>
      </w:r>
      <w:proofErr w:type="spellStart"/>
      <w:r w:rsidR="00986362" w:rsidRPr="00BE21DC">
        <w:rPr>
          <w:rFonts w:ascii="Times New Roman" w:hAnsi="Times New Roman" w:cs="Times New Roman"/>
          <w:lang w:val="en-GB"/>
        </w:rPr>
        <w:t>k</w:t>
      </w:r>
      <w:r w:rsidR="00C60F4D" w:rsidRPr="00BE21DC">
        <w:rPr>
          <w:rFonts w:ascii="Times New Roman" w:hAnsi="Times New Roman" w:cs="Times New Roman"/>
          <w:lang w:val="en-GB"/>
        </w:rPr>
        <w:t>a</w:t>
      </w:r>
      <w:proofErr w:type="spellEnd"/>
      <w:r w:rsidR="00986362"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86362" w:rsidRPr="00BE21DC">
        <w:rPr>
          <w:rFonts w:ascii="Times New Roman" w:hAnsi="Times New Roman" w:cs="Times New Roman"/>
          <w:lang w:val="en-GB"/>
        </w:rPr>
        <w:t>vijuar</w:t>
      </w:r>
      <w:proofErr w:type="spellEnd"/>
      <w:r w:rsidR="00986362"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86362" w:rsidRPr="00BE21DC">
        <w:rPr>
          <w:rFonts w:ascii="Times New Roman" w:hAnsi="Times New Roman" w:cs="Times New Roman"/>
          <w:lang w:val="en-GB"/>
        </w:rPr>
        <w:t>n</w:t>
      </w:r>
      <w:r w:rsidR="00BD3D5F" w:rsidRPr="00BE21DC">
        <w:rPr>
          <w:rFonts w:ascii="Times New Roman" w:hAnsi="Times New Roman" w:cs="Times New Roman"/>
          <w:lang w:val="en-GB"/>
        </w:rPr>
        <w:t>ë</w:t>
      </w:r>
      <w:proofErr w:type="spellEnd"/>
      <w:r w:rsidR="00986362" w:rsidRPr="00BE21D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86362" w:rsidRPr="00BE21DC">
        <w:rPr>
          <w:rFonts w:ascii="Times New Roman" w:hAnsi="Times New Roman" w:cs="Times New Roman"/>
          <w:lang w:val="en-GB"/>
        </w:rPr>
        <w:t>zbatimin</w:t>
      </w:r>
      <w:proofErr w:type="spellEnd"/>
      <w:r w:rsidR="00986362" w:rsidRPr="00BE21DC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BE21DC">
        <w:rPr>
          <w:rFonts w:ascii="Times New Roman" w:hAnsi="Times New Roman" w:cs="Times New Roman"/>
        </w:rPr>
        <w:t>Akti</w:t>
      </w:r>
      <w:r w:rsidR="00986362" w:rsidRPr="00BE21DC">
        <w:rPr>
          <w:rFonts w:ascii="Times New Roman" w:hAnsi="Times New Roman" w:cs="Times New Roman"/>
        </w:rPr>
        <w:t>t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="00986362" w:rsidRPr="00BE21DC">
        <w:rPr>
          <w:rFonts w:ascii="Times New Roman" w:hAnsi="Times New Roman" w:cs="Times New Roman"/>
        </w:rPr>
        <w:t>t</w:t>
      </w:r>
      <w:r w:rsidR="00BD3D5F" w:rsidRPr="00BE21DC">
        <w:rPr>
          <w:rFonts w:ascii="Times New Roman" w:hAnsi="Times New Roman" w:cs="Times New Roman"/>
        </w:rPr>
        <w:t>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Koordinimit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Institucional</w:t>
      </w:r>
      <w:proofErr w:type="spellEnd"/>
      <w:r w:rsidRPr="00BE21DC">
        <w:rPr>
          <w:rFonts w:ascii="Times New Roman" w:hAnsi="Times New Roman" w:cs="Times New Roman"/>
        </w:rPr>
        <w:t xml:space="preserve">, </w:t>
      </w:r>
      <w:proofErr w:type="spellStart"/>
      <w:r w:rsidR="00986362" w:rsidRPr="00BE21DC">
        <w:rPr>
          <w:rFonts w:ascii="Times New Roman" w:hAnsi="Times New Roman" w:cs="Times New Roman"/>
        </w:rPr>
        <w:t>d</w:t>
      </w:r>
      <w:r w:rsidRPr="00BE21DC">
        <w:rPr>
          <w:rFonts w:ascii="Times New Roman" w:hAnsi="Times New Roman" w:cs="Times New Roman"/>
        </w:rPr>
        <w:t>atë</w:t>
      </w:r>
      <w:proofErr w:type="spellEnd"/>
      <w:r w:rsidRPr="00BE21DC">
        <w:rPr>
          <w:rFonts w:ascii="Times New Roman" w:hAnsi="Times New Roman" w:cs="Times New Roman"/>
        </w:rPr>
        <w:t xml:space="preserve"> 15.12.2020, </w:t>
      </w:r>
      <w:proofErr w:type="spellStart"/>
      <w:r w:rsidRPr="00BE21DC">
        <w:rPr>
          <w:rFonts w:ascii="Times New Roman" w:hAnsi="Times New Roman" w:cs="Times New Roman"/>
        </w:rPr>
        <w:t>ndërmjet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Prokurorisë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së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Përgjithshme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dhe</w:t>
      </w:r>
      <w:proofErr w:type="spellEnd"/>
      <w:r w:rsidRPr="00BE21DC">
        <w:rPr>
          <w:rFonts w:ascii="Times New Roman" w:hAnsi="Times New Roman" w:cs="Times New Roman"/>
        </w:rPr>
        <w:t xml:space="preserve"> SPAK-</w:t>
      </w:r>
      <w:proofErr w:type="spellStart"/>
      <w:r w:rsidRPr="00BE21DC">
        <w:rPr>
          <w:rFonts w:ascii="Times New Roman" w:hAnsi="Times New Roman" w:cs="Times New Roman"/>
        </w:rPr>
        <w:t>ut</w:t>
      </w:r>
      <w:proofErr w:type="spellEnd"/>
      <w:r w:rsidRPr="00BE21DC">
        <w:rPr>
          <w:rFonts w:ascii="Times New Roman" w:hAnsi="Times New Roman" w:cs="Times New Roman"/>
        </w:rPr>
        <w:t xml:space="preserve">, </w:t>
      </w:r>
      <w:proofErr w:type="spellStart"/>
      <w:r w:rsidR="00986362" w:rsidRPr="00BE21DC">
        <w:rPr>
          <w:rFonts w:ascii="Times New Roman" w:hAnsi="Times New Roman" w:cs="Times New Roman"/>
        </w:rPr>
        <w:t>si</w:t>
      </w:r>
      <w:proofErr w:type="spellEnd"/>
      <w:r w:rsidR="00986362" w:rsidRPr="00BE21DC">
        <w:rPr>
          <w:rFonts w:ascii="Times New Roman" w:hAnsi="Times New Roman" w:cs="Times New Roman"/>
        </w:rPr>
        <w:t xml:space="preserve"> </w:t>
      </w:r>
      <w:proofErr w:type="spellStart"/>
      <w:r w:rsidR="00986362" w:rsidRPr="00BE21DC">
        <w:rPr>
          <w:rFonts w:ascii="Times New Roman" w:hAnsi="Times New Roman" w:cs="Times New Roman"/>
        </w:rPr>
        <w:t>n</w:t>
      </w:r>
      <w:r w:rsidR="00BD3D5F" w:rsidRPr="00BE21DC">
        <w:rPr>
          <w:rFonts w:ascii="Times New Roman" w:hAnsi="Times New Roman" w:cs="Times New Roman"/>
        </w:rPr>
        <w:t>ë</w:t>
      </w:r>
      <w:proofErr w:type="spellEnd"/>
      <w:r w:rsidR="00986362" w:rsidRPr="00BE21DC">
        <w:rPr>
          <w:rFonts w:ascii="Times New Roman" w:hAnsi="Times New Roman" w:cs="Times New Roman"/>
        </w:rPr>
        <w:t xml:space="preserve"> </w:t>
      </w:r>
      <w:proofErr w:type="spellStart"/>
      <w:r w:rsidR="00986362" w:rsidRPr="00BE21DC">
        <w:rPr>
          <w:rFonts w:ascii="Times New Roman" w:hAnsi="Times New Roman" w:cs="Times New Roman"/>
        </w:rPr>
        <w:t>kuadrin</w:t>
      </w:r>
      <w:proofErr w:type="spellEnd"/>
      <w:r w:rsidR="00986362" w:rsidRPr="00BE21DC">
        <w:rPr>
          <w:rFonts w:ascii="Times New Roman" w:hAnsi="Times New Roman" w:cs="Times New Roman"/>
        </w:rPr>
        <w:t xml:space="preserve"> e </w:t>
      </w:r>
      <w:proofErr w:type="spellStart"/>
      <w:r w:rsidRPr="00BE21DC">
        <w:rPr>
          <w:rFonts w:ascii="Times New Roman" w:hAnsi="Times New Roman" w:cs="Times New Roman"/>
        </w:rPr>
        <w:t>bashkërendimi</w:t>
      </w:r>
      <w:r w:rsidR="00986362" w:rsidRPr="00BE21DC">
        <w:rPr>
          <w:rFonts w:ascii="Times New Roman" w:hAnsi="Times New Roman" w:cs="Times New Roman"/>
        </w:rPr>
        <w:t>t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dhe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unifikimin</w:t>
      </w:r>
      <w:proofErr w:type="spellEnd"/>
      <w:r w:rsidRPr="00BE21DC">
        <w:rPr>
          <w:rFonts w:ascii="Times New Roman" w:hAnsi="Times New Roman" w:cs="Times New Roman"/>
        </w:rPr>
        <w:t xml:space="preserve"> e </w:t>
      </w:r>
      <w:proofErr w:type="spellStart"/>
      <w:r w:rsidRPr="00BE21DC">
        <w:rPr>
          <w:rFonts w:ascii="Times New Roman" w:hAnsi="Times New Roman" w:cs="Times New Roman"/>
        </w:rPr>
        <w:t>disa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veprimtarive</w:t>
      </w:r>
      <w:proofErr w:type="spellEnd"/>
      <w:r w:rsidRPr="00BE21DC">
        <w:rPr>
          <w:rFonts w:ascii="Times New Roman" w:hAnsi="Times New Roman" w:cs="Times New Roman"/>
        </w:rPr>
        <w:t xml:space="preserve"> administrative</w:t>
      </w:r>
      <w:r w:rsidR="00986362" w:rsidRPr="00BE21DC">
        <w:rPr>
          <w:rFonts w:ascii="Times New Roman" w:hAnsi="Times New Roman" w:cs="Times New Roman"/>
        </w:rPr>
        <w:t xml:space="preserve"> </w:t>
      </w:r>
      <w:proofErr w:type="spellStart"/>
      <w:r w:rsidR="00986362" w:rsidRPr="00BE21DC">
        <w:rPr>
          <w:rFonts w:ascii="Times New Roman" w:hAnsi="Times New Roman" w:cs="Times New Roman"/>
        </w:rPr>
        <w:t>ndërinstitucionale</w:t>
      </w:r>
      <w:proofErr w:type="spellEnd"/>
      <w:r w:rsidR="00986362" w:rsidRPr="00BE21DC">
        <w:rPr>
          <w:rFonts w:ascii="Times New Roman" w:hAnsi="Times New Roman" w:cs="Times New Roman"/>
        </w:rPr>
        <w:t>,</w:t>
      </w:r>
      <w:r w:rsidRPr="00BE21DC">
        <w:rPr>
          <w:rFonts w:ascii="Times New Roman" w:hAnsi="Times New Roman" w:cs="Times New Roman"/>
        </w:rPr>
        <w:t xml:space="preserve"> </w:t>
      </w:r>
      <w:proofErr w:type="spellStart"/>
      <w:r w:rsidR="00986362" w:rsidRPr="00BE21DC">
        <w:rPr>
          <w:rFonts w:ascii="Times New Roman" w:hAnsi="Times New Roman" w:cs="Times New Roman"/>
        </w:rPr>
        <w:t>ashtu</w:t>
      </w:r>
      <w:proofErr w:type="spellEnd"/>
      <w:r w:rsidR="00986362" w:rsidRPr="00BE21DC">
        <w:rPr>
          <w:rFonts w:ascii="Times New Roman" w:hAnsi="Times New Roman" w:cs="Times New Roman"/>
        </w:rPr>
        <w:t xml:space="preserve"> </w:t>
      </w:r>
      <w:proofErr w:type="spellStart"/>
      <w:r w:rsidR="00986362" w:rsidRPr="00BE21DC">
        <w:rPr>
          <w:rFonts w:ascii="Times New Roman" w:hAnsi="Times New Roman" w:cs="Times New Roman"/>
        </w:rPr>
        <w:t>dhe</w:t>
      </w:r>
      <w:proofErr w:type="spellEnd"/>
      <w:r w:rsidR="00986362"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procedurale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ndërinstitucionale</w:t>
      </w:r>
      <w:proofErr w:type="spellEnd"/>
      <w:r w:rsidRPr="00BE21DC">
        <w:rPr>
          <w:rFonts w:ascii="Times New Roman" w:hAnsi="Times New Roman" w:cs="Times New Roman"/>
        </w:rPr>
        <w:t xml:space="preserve">, duke </w:t>
      </w:r>
      <w:proofErr w:type="spellStart"/>
      <w:r w:rsidRPr="00BE21DC">
        <w:rPr>
          <w:rFonts w:ascii="Times New Roman" w:hAnsi="Times New Roman" w:cs="Times New Roman"/>
        </w:rPr>
        <w:t>respektuar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veçoritë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dhe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kompetencat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institucionale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parashikuara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në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ligj</w:t>
      </w:r>
      <w:proofErr w:type="spellEnd"/>
      <w:r w:rsidRPr="00BE21DC">
        <w:rPr>
          <w:rFonts w:ascii="Times New Roman" w:hAnsi="Times New Roman" w:cs="Times New Roman"/>
        </w:rPr>
        <w:t xml:space="preserve">. </w:t>
      </w:r>
    </w:p>
    <w:p w:rsidR="00F14430" w:rsidRPr="00BE21DC" w:rsidRDefault="00F14430" w:rsidP="00F14430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</w:rPr>
      </w:pPr>
    </w:p>
    <w:p w:rsidR="00F14430" w:rsidRPr="00BE21DC" w:rsidRDefault="00F14430" w:rsidP="00F14430">
      <w:pPr>
        <w:ind w:firstLine="360"/>
        <w:rPr>
          <w:rFonts w:ascii="Times New Roman" w:hAnsi="Times New Roman"/>
          <w:b/>
          <w:sz w:val="24"/>
          <w:szCs w:val="24"/>
        </w:rPr>
      </w:pPr>
      <w:r w:rsidRPr="00BE21DC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Bashkëpunimi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Inspektoratin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Lartë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Drejtësisë</w:t>
      </w:r>
      <w:proofErr w:type="spellEnd"/>
    </w:p>
    <w:p w:rsidR="00F14430" w:rsidRPr="00BE21DC" w:rsidRDefault="00F14430" w:rsidP="00F14430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BE21DC">
        <w:rPr>
          <w:rFonts w:ascii="Times New Roman" w:hAnsi="Times New Roman" w:cs="Times New Roman"/>
        </w:rPr>
        <w:t>Bashkëpunimi</w:t>
      </w:r>
      <w:proofErr w:type="spellEnd"/>
      <w:r w:rsidRPr="00BE21DC">
        <w:rPr>
          <w:rFonts w:ascii="Times New Roman" w:hAnsi="Times New Roman" w:cs="Times New Roman"/>
        </w:rPr>
        <w:t xml:space="preserve"> me ILD </w:t>
      </w:r>
      <w:r w:rsidRPr="00BE21DC">
        <w:rPr>
          <w:rFonts w:ascii="Times New Roman" w:hAnsi="Times New Roman" w:cs="Times New Roman"/>
          <w:lang w:val="de-DE"/>
        </w:rPr>
        <w:t>në procesin disiplinor dhe inspektimin e prokurorive</w:t>
      </w:r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është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i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një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rëndësie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veçantë</w:t>
      </w:r>
      <w:proofErr w:type="spellEnd"/>
      <w:r w:rsidRPr="00BE21DC">
        <w:rPr>
          <w:rFonts w:ascii="Times New Roman" w:hAnsi="Times New Roman" w:cs="Times New Roman"/>
          <w:lang w:val="de-DE"/>
        </w:rPr>
        <w:t xml:space="preserve">, për realizimin e funksioneve dhe përgjegjësive kushtetuese e ligjore, </w:t>
      </w:r>
      <w:proofErr w:type="spellStart"/>
      <w:r w:rsidRPr="00BE21DC">
        <w:rPr>
          <w:rFonts w:ascii="Times New Roman" w:hAnsi="Times New Roman" w:cs="Times New Roman"/>
        </w:rPr>
        <w:t>bazuar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në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parimet</w:t>
      </w:r>
      <w:proofErr w:type="spellEnd"/>
      <w:r w:rsidRPr="00BE21DC">
        <w:rPr>
          <w:rFonts w:ascii="Times New Roman" w:hAnsi="Times New Roman" w:cs="Times New Roman"/>
        </w:rPr>
        <w:t xml:space="preserve"> e </w:t>
      </w:r>
      <w:proofErr w:type="spellStart"/>
      <w:r w:rsidRPr="00BE21DC">
        <w:rPr>
          <w:rFonts w:ascii="Times New Roman" w:hAnsi="Times New Roman" w:cs="Times New Roman"/>
        </w:rPr>
        <w:t>pavarësisë</w:t>
      </w:r>
      <w:proofErr w:type="spellEnd"/>
      <w:r w:rsidRPr="00BE21DC">
        <w:rPr>
          <w:rFonts w:ascii="Times New Roman" w:hAnsi="Times New Roman" w:cs="Times New Roman"/>
        </w:rPr>
        <w:t xml:space="preserve">, </w:t>
      </w:r>
      <w:proofErr w:type="spellStart"/>
      <w:r w:rsidRPr="00BE21DC">
        <w:rPr>
          <w:rFonts w:ascii="Times New Roman" w:hAnsi="Times New Roman" w:cs="Times New Roman"/>
        </w:rPr>
        <w:t>llogaridhënies</w:t>
      </w:r>
      <w:proofErr w:type="spellEnd"/>
      <w:r w:rsidRPr="00BE21DC">
        <w:rPr>
          <w:rFonts w:ascii="Times New Roman" w:hAnsi="Times New Roman" w:cs="Times New Roman"/>
        </w:rPr>
        <w:t xml:space="preserve">, </w:t>
      </w:r>
      <w:proofErr w:type="spellStart"/>
      <w:r w:rsidRPr="00BE21DC">
        <w:rPr>
          <w:rFonts w:ascii="Times New Roman" w:hAnsi="Times New Roman" w:cs="Times New Roman"/>
        </w:rPr>
        <w:t>transparencës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dhe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efiçencës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së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sistemit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drejtësisë</w:t>
      </w:r>
      <w:proofErr w:type="spellEnd"/>
      <w:r w:rsidRPr="00BE21DC">
        <w:rPr>
          <w:rFonts w:ascii="Times New Roman" w:hAnsi="Times New Roman" w:cs="Times New Roman"/>
        </w:rPr>
        <w:t xml:space="preserve">. </w:t>
      </w:r>
    </w:p>
    <w:p w:rsidR="00F14430" w:rsidRPr="00BE21DC" w:rsidRDefault="00F14430" w:rsidP="00F14430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  <w:lang w:val="de-DE"/>
        </w:rPr>
      </w:pPr>
      <w:proofErr w:type="spellStart"/>
      <w:r w:rsidRPr="00BE21DC">
        <w:rPr>
          <w:rFonts w:ascii="Times New Roman" w:hAnsi="Times New Roman" w:cs="Times New Roman"/>
        </w:rPr>
        <w:t>Vullneti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i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dy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institucioneve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për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ngritur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më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tej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këtë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bashkëpunim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dhe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për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vendosur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kontakte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drejtëpërdrejta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për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shkëmbimin</w:t>
      </w:r>
      <w:proofErr w:type="spellEnd"/>
      <w:r w:rsidRPr="00BE21DC">
        <w:rPr>
          <w:rFonts w:ascii="Times New Roman" w:hAnsi="Times New Roman" w:cs="Times New Roman"/>
        </w:rPr>
        <w:t xml:space="preserve"> e </w:t>
      </w:r>
      <w:proofErr w:type="spellStart"/>
      <w:r w:rsidRPr="00BE21DC">
        <w:rPr>
          <w:rFonts w:ascii="Times New Roman" w:hAnsi="Times New Roman" w:cs="Times New Roman"/>
        </w:rPr>
        <w:t>informacionit</w:t>
      </w:r>
      <w:proofErr w:type="spellEnd"/>
      <w:r w:rsidRPr="00BE21DC">
        <w:rPr>
          <w:rFonts w:ascii="Times New Roman" w:hAnsi="Times New Roman" w:cs="Times New Roman"/>
        </w:rPr>
        <w:t xml:space="preserve"> ë</w:t>
      </w:r>
      <w:r w:rsidRPr="00BE21DC">
        <w:rPr>
          <w:rFonts w:ascii="Times New Roman" w:hAnsi="Times New Roman" w:cs="Times New Roman"/>
          <w:lang w:val="de-DE"/>
        </w:rPr>
        <w:t>shtë objekt i marrëveshjes së bashkëpunimit të nënshkruar në datë 05.02.2021.</w:t>
      </w:r>
    </w:p>
    <w:p w:rsidR="00F14430" w:rsidRPr="00BE21DC" w:rsidRDefault="00F14430" w:rsidP="00F14430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BE21DC">
        <w:rPr>
          <w:rFonts w:ascii="Times New Roman" w:hAnsi="Times New Roman" w:cs="Times New Roman"/>
        </w:rPr>
        <w:t>Në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vitin</w:t>
      </w:r>
      <w:proofErr w:type="spellEnd"/>
      <w:r w:rsidRPr="00BE21DC">
        <w:rPr>
          <w:rFonts w:ascii="Times New Roman" w:hAnsi="Times New Roman" w:cs="Times New Roman"/>
        </w:rPr>
        <w:t xml:space="preserve"> 2021 </w:t>
      </w:r>
      <w:proofErr w:type="spellStart"/>
      <w:r w:rsidRPr="00BE21DC">
        <w:rPr>
          <w:rFonts w:ascii="Times New Roman" w:hAnsi="Times New Roman" w:cs="Times New Roman"/>
        </w:rPr>
        <w:t>është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kërkuar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hetimi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disiplinor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i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r w:rsidR="004117ED" w:rsidRPr="00BE21DC">
        <w:rPr>
          <w:rFonts w:ascii="Times New Roman" w:hAnsi="Times New Roman" w:cs="Times New Roman"/>
        </w:rPr>
        <w:t>4 (</w:t>
      </w:r>
      <w:proofErr w:type="spellStart"/>
      <w:r w:rsidR="004117ED" w:rsidRPr="00BE21DC">
        <w:rPr>
          <w:rFonts w:ascii="Times New Roman" w:hAnsi="Times New Roman" w:cs="Times New Roman"/>
        </w:rPr>
        <w:t>kat</w:t>
      </w:r>
      <w:r w:rsidR="00BD3D5F" w:rsidRPr="00BE21DC">
        <w:rPr>
          <w:rFonts w:ascii="Times New Roman" w:hAnsi="Times New Roman" w:cs="Times New Roman"/>
        </w:rPr>
        <w:t>ë</w:t>
      </w:r>
      <w:r w:rsidR="004117ED" w:rsidRPr="00BE21DC">
        <w:rPr>
          <w:rFonts w:ascii="Times New Roman" w:hAnsi="Times New Roman" w:cs="Times New Roman"/>
        </w:rPr>
        <w:t>r</w:t>
      </w:r>
      <w:proofErr w:type="spellEnd"/>
      <w:r w:rsidR="004117ED" w:rsidRPr="00BE21DC">
        <w:rPr>
          <w:rFonts w:ascii="Times New Roman" w:hAnsi="Times New Roman" w:cs="Times New Roman"/>
        </w:rPr>
        <w:t>)</w:t>
      </w:r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prokuro</w:t>
      </w:r>
      <w:r w:rsidR="00077A41" w:rsidRPr="00BE21DC">
        <w:rPr>
          <w:rFonts w:ascii="Times New Roman" w:hAnsi="Times New Roman" w:cs="Times New Roman"/>
        </w:rPr>
        <w:t>r</w:t>
      </w:r>
      <w:r w:rsidRPr="00BE21DC">
        <w:rPr>
          <w:rFonts w:ascii="Times New Roman" w:hAnsi="Times New Roman" w:cs="Times New Roman"/>
        </w:rPr>
        <w:t>ëve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dhe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r w:rsidR="004117ED" w:rsidRPr="00BE21DC">
        <w:rPr>
          <w:rFonts w:ascii="Times New Roman" w:hAnsi="Times New Roman" w:cs="Times New Roman"/>
        </w:rPr>
        <w:t>1 (</w:t>
      </w:r>
      <w:proofErr w:type="spellStart"/>
      <w:r w:rsidRPr="00BE21DC">
        <w:rPr>
          <w:rFonts w:ascii="Times New Roman" w:hAnsi="Times New Roman" w:cs="Times New Roman"/>
        </w:rPr>
        <w:t>një</w:t>
      </w:r>
      <w:proofErr w:type="spellEnd"/>
      <w:r w:rsidR="004117ED" w:rsidRPr="00BE21DC">
        <w:rPr>
          <w:rFonts w:ascii="Times New Roman" w:hAnsi="Times New Roman" w:cs="Times New Roman"/>
        </w:rPr>
        <w:t>)</w:t>
      </w:r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drejtuesi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prokurorie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si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dhe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inspektimi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tematik</w:t>
      </w:r>
      <w:proofErr w:type="spellEnd"/>
      <w:r w:rsidRPr="00BE21DC">
        <w:rPr>
          <w:rFonts w:ascii="Times New Roman" w:hAnsi="Times New Roman" w:cs="Times New Roman"/>
        </w:rPr>
        <w:t xml:space="preserve"> </w:t>
      </w:r>
      <w:proofErr w:type="spellStart"/>
      <w:r w:rsidRPr="00BE21DC">
        <w:rPr>
          <w:rFonts w:ascii="Times New Roman" w:hAnsi="Times New Roman" w:cs="Times New Roman"/>
        </w:rPr>
        <w:t>i</w:t>
      </w:r>
      <w:proofErr w:type="spellEnd"/>
      <w:r w:rsidRPr="00BE21DC">
        <w:rPr>
          <w:rFonts w:ascii="Times New Roman" w:hAnsi="Times New Roman" w:cs="Times New Roman"/>
        </w:rPr>
        <w:t xml:space="preserve"> 8 </w:t>
      </w:r>
      <w:proofErr w:type="spellStart"/>
      <w:r w:rsidRPr="00BE21DC">
        <w:rPr>
          <w:rFonts w:ascii="Times New Roman" w:hAnsi="Times New Roman" w:cs="Times New Roman"/>
        </w:rPr>
        <w:t>prokurorive</w:t>
      </w:r>
      <w:proofErr w:type="spellEnd"/>
      <w:r w:rsidRPr="00BE21DC">
        <w:rPr>
          <w:rFonts w:ascii="Times New Roman" w:hAnsi="Times New Roman" w:cs="Times New Roman"/>
        </w:rPr>
        <w:t xml:space="preserve">. </w:t>
      </w:r>
    </w:p>
    <w:p w:rsidR="00F14430" w:rsidRPr="00BE21DC" w:rsidRDefault="00F14430" w:rsidP="00F14430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</w:rPr>
      </w:pPr>
    </w:p>
    <w:p w:rsidR="00F14430" w:rsidRPr="00BE21DC" w:rsidRDefault="00F14430" w:rsidP="00F14430">
      <w:pPr>
        <w:ind w:firstLine="360"/>
        <w:rPr>
          <w:rFonts w:ascii="Times New Roman" w:hAnsi="Times New Roman"/>
          <w:sz w:val="24"/>
          <w:szCs w:val="24"/>
        </w:rPr>
      </w:pPr>
      <w:r w:rsidRPr="00BE21DC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Bashkëpunimi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institucionet</w:t>
      </w:r>
      <w:proofErr w:type="spellEnd"/>
      <w:r w:rsidRPr="00BE2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b/>
          <w:sz w:val="24"/>
          <w:szCs w:val="24"/>
        </w:rPr>
        <w:t>ligjzbatuese</w:t>
      </w:r>
      <w:proofErr w:type="spellEnd"/>
    </w:p>
    <w:p w:rsidR="00F14430" w:rsidRDefault="00F14430" w:rsidP="00F14430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rritjen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cilësisë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efiçencës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hetimin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ushtrimin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ndjekjes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penale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suksesshme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kriminaliteteti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një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vëmendje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veçantë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është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kushtuar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si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bashkëpunimit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praktik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vendor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punën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përditshme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drejtuesve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prokurorëve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oficerëve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policisë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gjyqësore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ashtu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marrëveshjeve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bashkëpunimit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ndërinstitucional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nivel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qendror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. Kemi </w:t>
      </w:r>
      <w:proofErr w:type="spellStart"/>
      <w:r w:rsidR="00BD3D5F" w:rsidRPr="00BE21DC">
        <w:rPr>
          <w:rFonts w:ascii="Times New Roman" w:hAnsi="Times New Roman"/>
          <w:sz w:val="24"/>
          <w:szCs w:val="24"/>
        </w:rPr>
        <w:t>vijuar</w:t>
      </w:r>
      <w:proofErr w:type="spellEnd"/>
      <w:r w:rsidR="00BD3D5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D5F" w:rsidRPr="00BE21DC">
        <w:rPr>
          <w:rFonts w:ascii="Times New Roman" w:hAnsi="Times New Roman"/>
          <w:sz w:val="24"/>
          <w:szCs w:val="24"/>
        </w:rPr>
        <w:t>mbikëqyrjen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masave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konkrete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D5F" w:rsidRPr="00BE21DC">
        <w:rPr>
          <w:rFonts w:ascii="Times New Roman" w:hAnsi="Times New Roman"/>
          <w:sz w:val="24"/>
          <w:szCs w:val="24"/>
        </w:rPr>
        <w:t>zbatimin</w:t>
      </w:r>
      <w:proofErr w:type="spellEnd"/>
      <w:r w:rsidR="00BD3D5F"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D3D5F" w:rsidRPr="00BE21DC">
        <w:rPr>
          <w:rFonts w:ascii="Times New Roman" w:hAnsi="Times New Roman"/>
          <w:sz w:val="24"/>
          <w:szCs w:val="24"/>
        </w:rPr>
        <w:t>marrëveshjeve</w:t>
      </w:r>
      <w:proofErr w:type="spellEnd"/>
      <w:r w:rsidR="00BD3D5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D5F" w:rsidRPr="00BE21DC">
        <w:rPr>
          <w:rFonts w:ascii="Times New Roman" w:hAnsi="Times New Roman"/>
          <w:sz w:val="24"/>
          <w:szCs w:val="24"/>
        </w:rPr>
        <w:t>dy</w:t>
      </w:r>
      <w:proofErr w:type="spellEnd"/>
      <w:r w:rsidR="00BD3D5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D5F"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="00BD3D5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D5F" w:rsidRPr="00BE21DC">
        <w:rPr>
          <w:rFonts w:ascii="Times New Roman" w:hAnsi="Times New Roman"/>
          <w:sz w:val="24"/>
          <w:szCs w:val="24"/>
        </w:rPr>
        <w:t>shumë</w:t>
      </w:r>
      <w:proofErr w:type="spellEnd"/>
      <w:r w:rsidR="00BD3D5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D5F" w:rsidRPr="00BE21DC">
        <w:rPr>
          <w:rFonts w:ascii="Times New Roman" w:hAnsi="Times New Roman"/>
          <w:sz w:val="24"/>
          <w:szCs w:val="24"/>
        </w:rPr>
        <w:t>palëshe</w:t>
      </w:r>
      <w:proofErr w:type="spellEnd"/>
      <w:r w:rsidR="00BD3D5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D5F"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="00BD3D5F"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rritjen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cilësisë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së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kallëzimeve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penale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>/</w:t>
      </w:r>
      <w:proofErr w:type="spellStart"/>
      <w:r w:rsidRPr="00BE21DC">
        <w:rPr>
          <w:rFonts w:ascii="Times New Roman" w:hAnsi="Times New Roman"/>
          <w:sz w:val="24"/>
          <w:szCs w:val="24"/>
        </w:rPr>
        <w:t>ose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referimeve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prokurori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nxitjen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hetimeve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proaktive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nxjerrjen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metodikave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hetimore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21DC">
        <w:rPr>
          <w:rFonts w:ascii="Times New Roman" w:hAnsi="Times New Roman"/>
          <w:sz w:val="24"/>
          <w:szCs w:val="24"/>
        </w:rPr>
        <w:t>vendosjen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kontakteve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dhe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zhvillimin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trajnimeve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përbashkëta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për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forcimin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kapaciteteve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profesionale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, masa </w:t>
      </w:r>
      <w:proofErr w:type="spellStart"/>
      <w:r w:rsidRPr="00BE21DC">
        <w:rPr>
          <w:rFonts w:ascii="Times New Roman" w:hAnsi="Times New Roman"/>
          <w:sz w:val="24"/>
          <w:szCs w:val="24"/>
        </w:rPr>
        <w:t>që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çmojmë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se do </w:t>
      </w:r>
      <w:proofErr w:type="spellStart"/>
      <w:r w:rsidRPr="00BE21DC">
        <w:rPr>
          <w:rFonts w:ascii="Times New Roman" w:hAnsi="Times New Roman"/>
          <w:sz w:val="24"/>
          <w:szCs w:val="24"/>
        </w:rPr>
        <w:t>të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japin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rezultate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rritjen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efektivitetit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në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luftën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E21DC">
        <w:rPr>
          <w:rFonts w:ascii="Times New Roman" w:hAnsi="Times New Roman"/>
          <w:sz w:val="24"/>
          <w:szCs w:val="24"/>
        </w:rPr>
        <w:t>përbashkët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ndaj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1DC">
        <w:rPr>
          <w:rFonts w:ascii="Times New Roman" w:hAnsi="Times New Roman"/>
          <w:sz w:val="24"/>
          <w:szCs w:val="24"/>
        </w:rPr>
        <w:t>kriminalitetit</w:t>
      </w:r>
      <w:proofErr w:type="spellEnd"/>
      <w:r w:rsidRPr="00BE21DC">
        <w:rPr>
          <w:rFonts w:ascii="Times New Roman" w:hAnsi="Times New Roman"/>
          <w:sz w:val="24"/>
          <w:szCs w:val="24"/>
        </w:rPr>
        <w:t xml:space="preserve">. </w:t>
      </w:r>
    </w:p>
    <w:p w:rsidR="00922CEB" w:rsidRPr="00BE21DC" w:rsidRDefault="00922CEB" w:rsidP="00F14430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F14430" w:rsidRPr="00BE21DC" w:rsidRDefault="00F14430" w:rsidP="00F14430">
      <w:pPr>
        <w:spacing w:after="0" w:line="259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BE21DC">
        <w:rPr>
          <w:rFonts w:ascii="Times New Roman" w:hAnsi="Times New Roman"/>
          <w:b/>
          <w:sz w:val="24"/>
          <w:szCs w:val="24"/>
          <w:lang w:val="en-GB"/>
        </w:rPr>
        <w:t>PROKURORI I PËRGJITHSHËM</w:t>
      </w:r>
    </w:p>
    <w:p w:rsidR="00077A41" w:rsidRPr="00BE21DC" w:rsidRDefault="00077A41" w:rsidP="00F14430">
      <w:pPr>
        <w:spacing w:after="0" w:line="259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F14430" w:rsidRPr="00BE21DC" w:rsidRDefault="00F14430" w:rsidP="00F14430">
      <w:pPr>
        <w:spacing w:after="0" w:line="259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4C7D22" w:rsidRPr="00BE21DC" w:rsidRDefault="00F14430" w:rsidP="008817FF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BE21DC">
        <w:rPr>
          <w:rFonts w:ascii="Times New Roman" w:hAnsi="Times New Roman"/>
          <w:b/>
          <w:sz w:val="24"/>
          <w:szCs w:val="24"/>
          <w:lang w:val="en-GB"/>
        </w:rPr>
        <w:t>OLSIAN ÇELA</w:t>
      </w:r>
    </w:p>
    <w:sectPr w:rsidR="004C7D22" w:rsidRPr="00BE21DC" w:rsidSect="00685593">
      <w:footerReference w:type="default" r:id="rId20"/>
      <w:pgSz w:w="11906" w:h="16838"/>
      <w:pgMar w:top="1296" w:right="1440" w:bottom="1296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0A4E" w:rsidRDefault="00A50A4E" w:rsidP="00F14430">
      <w:pPr>
        <w:spacing w:after="0" w:line="240" w:lineRule="auto"/>
      </w:pPr>
      <w:r>
        <w:separator/>
      </w:r>
    </w:p>
  </w:endnote>
  <w:endnote w:type="continuationSeparator" w:id="0">
    <w:p w:rsidR="00A50A4E" w:rsidRDefault="00A50A4E" w:rsidP="00F1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063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51DF" w:rsidRDefault="00E443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51DF" w:rsidRDefault="00205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0A4E" w:rsidRDefault="00A50A4E" w:rsidP="00F14430">
      <w:pPr>
        <w:spacing w:after="0" w:line="240" w:lineRule="auto"/>
      </w:pPr>
      <w:r>
        <w:separator/>
      </w:r>
    </w:p>
  </w:footnote>
  <w:footnote w:type="continuationSeparator" w:id="0">
    <w:p w:rsidR="00A50A4E" w:rsidRDefault="00A50A4E" w:rsidP="00F14430">
      <w:pPr>
        <w:spacing w:after="0" w:line="240" w:lineRule="auto"/>
      </w:pPr>
      <w:r>
        <w:continuationSeparator/>
      </w:r>
    </w:p>
  </w:footnote>
  <w:footnote w:id="1">
    <w:p w:rsidR="002051DF" w:rsidRPr="00D953A2" w:rsidRDefault="002051DF" w:rsidP="005C7FA7">
      <w:pPr>
        <w:pStyle w:val="FootnoteText"/>
        <w:jc w:val="both"/>
        <w:rPr>
          <w:sz w:val="16"/>
          <w:szCs w:val="16"/>
        </w:rPr>
      </w:pPr>
      <w:r w:rsidRPr="00D953A2">
        <w:rPr>
          <w:rStyle w:val="FootnoteReference"/>
          <w:sz w:val="16"/>
          <w:szCs w:val="16"/>
        </w:rPr>
        <w:footnoteRef/>
      </w:r>
      <w:r w:rsidRPr="00D953A2">
        <w:rPr>
          <w:sz w:val="16"/>
          <w:szCs w:val="16"/>
        </w:rPr>
        <w:t xml:space="preserve"> Numri faktik i prokurorëve në janar 2019 ka qenë 309, përkatësisht 276 në shkallë të parë, 21 në prokuroritë e apeleve dhe 12 në Prokurorinë e Përgjithshme.</w:t>
      </w:r>
    </w:p>
  </w:footnote>
  <w:footnote w:id="2">
    <w:p w:rsidR="002051DF" w:rsidRPr="00D953A2" w:rsidRDefault="002051DF" w:rsidP="00CD6E8D">
      <w:pPr>
        <w:pStyle w:val="FootnoteText"/>
        <w:spacing w:line="240" w:lineRule="auto"/>
        <w:rPr>
          <w:sz w:val="16"/>
          <w:szCs w:val="16"/>
          <w:lang w:val="it-IT"/>
        </w:rPr>
      </w:pPr>
      <w:r w:rsidRPr="00D953A2">
        <w:rPr>
          <w:rStyle w:val="FootnoteReference"/>
          <w:rFonts w:eastAsia="Calibri"/>
          <w:sz w:val="16"/>
          <w:szCs w:val="16"/>
        </w:rPr>
        <w:footnoteRef/>
      </w:r>
      <w:r w:rsidRPr="00D953A2">
        <w:rPr>
          <w:sz w:val="16"/>
          <w:szCs w:val="16"/>
        </w:rPr>
        <w:t xml:space="preserve"> </w:t>
      </w:r>
      <w:r w:rsidRPr="00D953A2">
        <w:rPr>
          <w:sz w:val="16"/>
          <w:szCs w:val="16"/>
          <w:lang w:val="it-IT"/>
        </w:rPr>
        <w:t>Neni 20 në lidhje me nenin 38 pika 2 shkronja “e” e ligjit nr.97/2016;</w:t>
      </w:r>
    </w:p>
  </w:footnote>
  <w:footnote w:id="3">
    <w:p w:rsidR="002051DF" w:rsidRPr="000A6960" w:rsidRDefault="002051DF" w:rsidP="00E81917">
      <w:pPr>
        <w:pStyle w:val="FootnoteText"/>
        <w:jc w:val="both"/>
        <w:rPr>
          <w:lang w:val="sq-AL"/>
        </w:rPr>
      </w:pPr>
      <w:r w:rsidRPr="00367736">
        <w:rPr>
          <w:rStyle w:val="FootnoteReference"/>
          <w:sz w:val="18"/>
          <w:szCs w:val="18"/>
          <w:lang w:val="sq-AL"/>
        </w:rPr>
        <w:footnoteRef/>
      </w:r>
      <w:r w:rsidRPr="00367736">
        <w:rPr>
          <w:sz w:val="18"/>
          <w:szCs w:val="18"/>
          <w:lang w:val="sq-AL"/>
        </w:rPr>
        <w:t xml:space="preserve"> Tek kjo shifër e materialeve të trajtuara përfshihen: procedimet e mbartura; procedimet e reja të regjistruara gjatë vitit 2021 për veprat penale të parashikuara në Kodin Penal dhe Kodin Penal Ushtarak; procedimet e rifilluara gjatë vitit 2021; si dhe vendimet e mosfillimit të marra gjatë vitit 2021.</w:t>
      </w:r>
    </w:p>
  </w:footnote>
  <w:footnote w:id="4">
    <w:p w:rsidR="002051DF" w:rsidRDefault="002051DF" w:rsidP="00C4363D">
      <w:pPr>
        <w:pStyle w:val="FootnoteText"/>
        <w:spacing w:line="240" w:lineRule="auto"/>
        <w:jc w:val="both"/>
      </w:pPr>
      <w:r>
        <w:rPr>
          <w:rStyle w:val="FootnoteReference"/>
        </w:rPr>
        <w:footnoteRef/>
      </w:r>
      <w:r>
        <w:t xml:space="preserve"> Koment: </w:t>
      </w:r>
      <w:r w:rsidRPr="00C4363D">
        <w:rPr>
          <w:rFonts w:eastAsia="Calibri" w:cs="CG Times"/>
          <w:color w:val="000000"/>
          <w:sz w:val="18"/>
          <w:szCs w:val="18"/>
          <w:lang w:val="sq-AL"/>
        </w:rPr>
        <w:t>Në kuadrin e këtij vlerësimi të përformancës, numri i procedimeve penale të regjistruara në vitin 2021, evienton si tregues potencial volumin e procedimeve të regjistruar të prokurorive, ndërsa treguesi potencial i çështjeve të përfunduara konsiderohet i përmbushur për numrin e procedimeve/çështjeve të përfunduara brenda këtij viti. Të dhënat për “procedimet e regjistruara” evidentojnë ngarkesën e prokurorive përkatëse, tregues me të cilin lidhet pritshmëria e publikut për punën e secilës prokurori. Ndërsa, indikatori “procedime të përfunduara” tregon kapacitetin e secilës prokurori për të përfunduar brenda afateve ligjore në përmbushje të funksioneve kushtetuese e ligjore</w:t>
      </w:r>
      <w:r>
        <w:rPr>
          <w:rFonts w:eastAsia="Calibri" w:cs="CG Times"/>
          <w:color w:val="000000"/>
          <w:sz w:val="18"/>
          <w:szCs w:val="18"/>
          <w:lang w:val="sq-AL"/>
        </w:rPr>
        <w:t>.</w:t>
      </w:r>
    </w:p>
  </w:footnote>
  <w:footnote w:id="5">
    <w:p w:rsidR="002051DF" w:rsidRPr="00E32579" w:rsidRDefault="002051DF" w:rsidP="00071FE1">
      <w:pPr>
        <w:pStyle w:val="FootnoteText"/>
        <w:spacing w:line="240" w:lineRule="auto"/>
        <w:jc w:val="both"/>
        <w:rPr>
          <w:rFonts w:eastAsia="Calibri" w:cs="CG Times"/>
          <w:color w:val="000000"/>
          <w:sz w:val="18"/>
          <w:szCs w:val="18"/>
          <w:lang w:val="sq-AL"/>
        </w:rPr>
      </w:pPr>
      <w:r>
        <w:rPr>
          <w:rStyle w:val="FootnoteReference"/>
        </w:rPr>
        <w:footnoteRef/>
      </w:r>
      <w:r>
        <w:t xml:space="preserve"> Koment: </w:t>
      </w:r>
      <w:r w:rsidRPr="00E32579">
        <w:rPr>
          <w:lang w:val="sq-AL"/>
        </w:rPr>
        <w:t xml:space="preserve">Në këtë tregues të përformancës, referuar numrit të procedimeve/çështjet të mbartura dhe procedimeve të regjistruara (procedimet/çështjet në ndjekje), parashtroj vlerësimin e efikasitetit që do t’i duhej prokurorëve në vitin 2022, për të përfunduar procedimet e mbartura dhe procedimet e regjistruara të reja, nëse trendi i volumit të punës dhe numrit të prokurorëve do të ishte në të njëjtat shifra. </w:t>
      </w:r>
    </w:p>
    <w:p w:rsidR="002051DF" w:rsidRDefault="002051DF" w:rsidP="00E32579">
      <w:pPr>
        <w:pStyle w:val="FootnoteText"/>
        <w:spacing w:line="240" w:lineRule="auto"/>
        <w:jc w:val="both"/>
      </w:pPr>
    </w:p>
  </w:footnote>
  <w:footnote w:id="6">
    <w:p w:rsidR="002051DF" w:rsidRPr="00071FE1" w:rsidRDefault="002051DF" w:rsidP="00071FE1">
      <w:pPr>
        <w:pStyle w:val="FootnoteText"/>
        <w:spacing w:line="240" w:lineRule="auto"/>
        <w:jc w:val="both"/>
        <w:rPr>
          <w:rFonts w:eastAsia="Calibri"/>
          <w:sz w:val="18"/>
          <w:szCs w:val="18"/>
          <w:highlight w:val="yellow"/>
          <w:lang w:val="sq-AL"/>
        </w:rPr>
      </w:pPr>
      <w:r>
        <w:rPr>
          <w:rStyle w:val="FootnoteReference"/>
        </w:rPr>
        <w:footnoteRef/>
      </w:r>
      <w:r>
        <w:t xml:space="preserve"> </w:t>
      </w:r>
      <w:r w:rsidRPr="00071FE1">
        <w:rPr>
          <w:sz w:val="18"/>
          <w:szCs w:val="18"/>
        </w:rPr>
        <w:t xml:space="preserve">Koment: </w:t>
      </w:r>
      <w:r w:rsidRPr="00071FE1">
        <w:rPr>
          <w:rFonts w:eastAsia="Calibri"/>
          <w:sz w:val="18"/>
          <w:szCs w:val="18"/>
          <w:lang w:val="sq-AL"/>
        </w:rPr>
        <w:t>Ky tregues/indikator që përfaqëson numrin mesatar të procedimeve/çështjeve të përfunduara nga një prokuror brenda një viti, e përllogaritur me numrin e procedimeve/çështjeve të ndjekura (mbartura dhe procedimeve të regjistruara) gjatë vitit 2021 në raportë me numrin e prokurorëve të angazhuar gjatë këtij viti, pa u trajtuar niveli/shkalla e vështirësive sipas natyrës së çështjeve për munges të treguesve, evidentohet se mesatara e çështjeve të përfunduara për çdo prokuror sipas numrit faktik të prokurorëve është sipas prokurorive.</w:t>
      </w:r>
    </w:p>
    <w:p w:rsidR="002051DF" w:rsidRDefault="002051DF" w:rsidP="00E64318">
      <w:pPr>
        <w:pStyle w:val="FootnoteText"/>
        <w:spacing w:line="240" w:lineRule="auto"/>
        <w:jc w:val="both"/>
        <w:rPr>
          <w:lang w:val="sq-AL"/>
        </w:rPr>
      </w:pPr>
    </w:p>
    <w:p w:rsidR="002051DF" w:rsidRPr="00E32579" w:rsidRDefault="002051DF" w:rsidP="00E64318">
      <w:pPr>
        <w:pStyle w:val="FootnoteText"/>
        <w:spacing w:line="240" w:lineRule="auto"/>
        <w:jc w:val="both"/>
        <w:rPr>
          <w:rFonts w:eastAsia="Calibri" w:cs="CG Times"/>
          <w:color w:val="000000"/>
          <w:sz w:val="18"/>
          <w:szCs w:val="18"/>
          <w:lang w:val="sq-AL"/>
        </w:rPr>
      </w:pPr>
    </w:p>
    <w:p w:rsidR="002051DF" w:rsidRDefault="002051DF" w:rsidP="00E64318">
      <w:pPr>
        <w:pStyle w:val="FootnoteText"/>
        <w:spacing w:line="240" w:lineRule="auto"/>
        <w:jc w:val="both"/>
      </w:pPr>
    </w:p>
  </w:footnote>
  <w:footnote w:id="7">
    <w:p w:rsidR="002051DF" w:rsidRDefault="002051DF" w:rsidP="00F14430">
      <w:pPr>
        <w:pStyle w:val="ListParagraph"/>
        <w:spacing w:after="0"/>
        <w:ind w:left="0"/>
        <w:jc w:val="both"/>
      </w:pPr>
      <w:r w:rsidRPr="00AF305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F305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Shih, aktet normative të PP </w:t>
      </w:r>
      <w:r w:rsidRPr="00AF305D">
        <w:rPr>
          <w:rFonts w:ascii="Times New Roman" w:hAnsi="Times New Roman"/>
          <w:sz w:val="18"/>
          <w:szCs w:val="18"/>
        </w:rPr>
        <w:t xml:space="preserve">të </w:t>
      </w:r>
      <w:r>
        <w:rPr>
          <w:rFonts w:ascii="Times New Roman" w:hAnsi="Times New Roman"/>
          <w:sz w:val="18"/>
          <w:szCs w:val="18"/>
        </w:rPr>
        <w:t xml:space="preserve">miratuara në </w:t>
      </w:r>
      <w:r w:rsidRPr="00AF305D">
        <w:rPr>
          <w:rFonts w:ascii="Times New Roman" w:hAnsi="Times New Roman"/>
          <w:sz w:val="18"/>
          <w:szCs w:val="18"/>
        </w:rPr>
        <w:t>periudhës Janar- Dhjetor 202</w:t>
      </w:r>
      <w:r>
        <w:rPr>
          <w:rFonts w:ascii="Times New Roman" w:hAnsi="Times New Roman"/>
          <w:sz w:val="18"/>
          <w:szCs w:val="18"/>
        </w:rPr>
        <w:t>1</w:t>
      </w:r>
      <w:r w:rsidRPr="00AF305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në Faqen Zyrtare te Prokurorisë së Përgjithshme.</w:t>
      </w:r>
      <w:r w:rsidRPr="00AF305D">
        <w:rPr>
          <w:rFonts w:ascii="Times New Roman" w:hAnsi="Times New Roman"/>
          <w:sz w:val="18"/>
          <w:szCs w:val="18"/>
        </w:rPr>
        <w:t xml:space="preserve"> </w:t>
      </w:r>
    </w:p>
  </w:footnote>
  <w:footnote w:id="8">
    <w:p w:rsidR="002051DF" w:rsidRDefault="002051DF" w:rsidP="00F14430">
      <w:pPr>
        <w:pStyle w:val="ListParagraph"/>
        <w:spacing w:after="0"/>
        <w:ind w:left="-23"/>
        <w:jc w:val="both"/>
      </w:pPr>
      <w:r w:rsidRPr="00240A15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40A1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Shih, po aty, </w:t>
      </w:r>
      <w:r w:rsidRPr="00240A15">
        <w:rPr>
          <w:rFonts w:ascii="Times New Roman" w:hAnsi="Times New Roman"/>
          <w:sz w:val="18"/>
          <w:szCs w:val="18"/>
        </w:rPr>
        <w:t xml:space="preserve">Akte të tjera normative të </w:t>
      </w:r>
      <w:r>
        <w:rPr>
          <w:rFonts w:ascii="Times New Roman" w:hAnsi="Times New Roman"/>
          <w:sz w:val="18"/>
          <w:szCs w:val="18"/>
        </w:rPr>
        <w:t xml:space="preserve">miratuara nga </w:t>
      </w:r>
      <w:r w:rsidRPr="00240A15">
        <w:rPr>
          <w:rFonts w:ascii="Times New Roman" w:hAnsi="Times New Roman"/>
          <w:sz w:val="18"/>
          <w:szCs w:val="18"/>
        </w:rPr>
        <w:t xml:space="preserve">Prokurori </w:t>
      </w:r>
      <w:r>
        <w:rPr>
          <w:rFonts w:ascii="Times New Roman" w:hAnsi="Times New Roman"/>
          <w:sz w:val="18"/>
          <w:szCs w:val="18"/>
        </w:rPr>
        <w:t>i</w:t>
      </w:r>
      <w:r w:rsidRPr="00240A15">
        <w:rPr>
          <w:rFonts w:ascii="Times New Roman" w:hAnsi="Times New Roman"/>
          <w:sz w:val="18"/>
          <w:szCs w:val="18"/>
        </w:rPr>
        <w:t xml:space="preserve"> Përgjithshëm</w:t>
      </w:r>
      <w:r>
        <w:rPr>
          <w:rFonts w:ascii="Times New Roman" w:hAnsi="Times New Roman"/>
          <w:sz w:val="18"/>
          <w:szCs w:val="18"/>
        </w:rPr>
        <w:t>;</w:t>
      </w:r>
    </w:p>
  </w:footnote>
  <w:footnote w:id="9">
    <w:p w:rsidR="002051DF" w:rsidRPr="007D2ED9" w:rsidRDefault="002051DF" w:rsidP="00F1443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40A15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40A1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Shih, po aty, marrëveshje bashkëpunimi me institucione te tjera;</w:t>
      </w:r>
    </w:p>
    <w:p w:rsidR="002051DF" w:rsidRDefault="002051DF" w:rsidP="00F14430">
      <w:pPr>
        <w:pStyle w:val="FootnoteText"/>
      </w:pPr>
    </w:p>
  </w:footnote>
  <w:footnote w:id="10">
    <w:p w:rsidR="002051DF" w:rsidRPr="0062209C" w:rsidRDefault="002051DF" w:rsidP="0062209C">
      <w:pPr>
        <w:tabs>
          <w:tab w:val="left" w:pos="3330"/>
          <w:tab w:val="left" w:pos="3420"/>
        </w:tabs>
        <w:spacing w:after="0" w:line="240" w:lineRule="auto"/>
        <w:jc w:val="both"/>
        <w:rPr>
          <w:sz w:val="18"/>
          <w:szCs w:val="18"/>
        </w:rPr>
      </w:pPr>
      <w:r w:rsidRPr="0062209C">
        <w:rPr>
          <w:rStyle w:val="FootnoteReference"/>
          <w:sz w:val="18"/>
          <w:szCs w:val="18"/>
        </w:rPr>
        <w:footnoteRef/>
      </w:r>
      <w:r w:rsidRPr="0062209C">
        <w:rPr>
          <w:sz w:val="18"/>
          <w:szCs w:val="18"/>
        </w:rPr>
        <w:t xml:space="preserve"> Shih, pikat 2, 3, 4 e 5 të nenit 50 “Raportimi vjetor te Prokurori i Përgjithshëm” i ligjit nr.97/2016 “Për organizimin dhe funksionimin e prokurorisë në Republikën e Shqipërisë”.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E35"/>
    <w:multiLevelType w:val="hybridMultilevel"/>
    <w:tmpl w:val="0FA0E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04B0D"/>
    <w:multiLevelType w:val="hybridMultilevel"/>
    <w:tmpl w:val="E37A85D2"/>
    <w:lvl w:ilvl="0" w:tplc="6798B1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93DC6"/>
    <w:multiLevelType w:val="hybridMultilevel"/>
    <w:tmpl w:val="2228BB32"/>
    <w:lvl w:ilvl="0" w:tplc="1592066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484EC7"/>
    <w:multiLevelType w:val="hybridMultilevel"/>
    <w:tmpl w:val="BD3A0756"/>
    <w:lvl w:ilvl="0" w:tplc="1592066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00A1A"/>
    <w:multiLevelType w:val="hybridMultilevel"/>
    <w:tmpl w:val="B380E690"/>
    <w:lvl w:ilvl="0" w:tplc="FA868FA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733E2"/>
    <w:multiLevelType w:val="hybridMultilevel"/>
    <w:tmpl w:val="23143854"/>
    <w:lvl w:ilvl="0" w:tplc="5C964C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23C20"/>
    <w:multiLevelType w:val="hybridMultilevel"/>
    <w:tmpl w:val="B336CA72"/>
    <w:lvl w:ilvl="0" w:tplc="8C6A4224">
      <w:start w:val="1"/>
      <w:numFmt w:val="bullet"/>
      <w:lvlText w:val="-"/>
      <w:lvlJc w:val="left"/>
      <w:pPr>
        <w:ind w:left="1250" w:hanging="360"/>
      </w:pPr>
      <w:rPr>
        <w:rFonts w:ascii="Calibri" w:eastAsiaTheme="minorHAnsi" w:hAnsi="Calibri" w:cstheme="minorHAns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7" w15:restartNumberingAfterBreak="0">
    <w:nsid w:val="62053673"/>
    <w:multiLevelType w:val="hybridMultilevel"/>
    <w:tmpl w:val="10C24F60"/>
    <w:lvl w:ilvl="0" w:tplc="26CE140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A767775"/>
    <w:multiLevelType w:val="hybridMultilevel"/>
    <w:tmpl w:val="5BA89964"/>
    <w:lvl w:ilvl="0" w:tplc="C56EA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F4E9E"/>
    <w:multiLevelType w:val="hybridMultilevel"/>
    <w:tmpl w:val="5C6C2D10"/>
    <w:lvl w:ilvl="0" w:tplc="54C21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75893"/>
    <w:multiLevelType w:val="hybridMultilevel"/>
    <w:tmpl w:val="CA9433D4"/>
    <w:lvl w:ilvl="0" w:tplc="44B42DF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72C6E"/>
    <w:multiLevelType w:val="hybridMultilevel"/>
    <w:tmpl w:val="54A246A4"/>
    <w:lvl w:ilvl="0" w:tplc="548027F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A6ABD"/>
    <w:multiLevelType w:val="hybridMultilevel"/>
    <w:tmpl w:val="1908CBF2"/>
    <w:lvl w:ilvl="0" w:tplc="1592066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BC6E02"/>
    <w:multiLevelType w:val="hybridMultilevel"/>
    <w:tmpl w:val="1CC88DCE"/>
    <w:lvl w:ilvl="0" w:tplc="83E8EA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76742">
    <w:abstractNumId w:val="7"/>
  </w:num>
  <w:num w:numId="2" w16cid:durableId="272977159">
    <w:abstractNumId w:val="1"/>
  </w:num>
  <w:num w:numId="3" w16cid:durableId="2011716697">
    <w:abstractNumId w:val="13"/>
  </w:num>
  <w:num w:numId="4" w16cid:durableId="329023104">
    <w:abstractNumId w:val="3"/>
  </w:num>
  <w:num w:numId="5" w16cid:durableId="702753257">
    <w:abstractNumId w:val="9"/>
  </w:num>
  <w:num w:numId="6" w16cid:durableId="1408654851">
    <w:abstractNumId w:val="8"/>
  </w:num>
  <w:num w:numId="7" w16cid:durableId="1899630710">
    <w:abstractNumId w:val="11"/>
  </w:num>
  <w:num w:numId="8" w16cid:durableId="1724061724">
    <w:abstractNumId w:val="10"/>
  </w:num>
  <w:num w:numId="9" w16cid:durableId="1245072347">
    <w:abstractNumId w:val="0"/>
  </w:num>
  <w:num w:numId="10" w16cid:durableId="15809430">
    <w:abstractNumId w:val="4"/>
  </w:num>
  <w:num w:numId="11" w16cid:durableId="2132357806">
    <w:abstractNumId w:val="2"/>
  </w:num>
  <w:num w:numId="12" w16cid:durableId="472480720">
    <w:abstractNumId w:val="12"/>
  </w:num>
  <w:num w:numId="13" w16cid:durableId="1430200839">
    <w:abstractNumId w:val="5"/>
  </w:num>
  <w:num w:numId="14" w16cid:durableId="1338851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/>
  <w:revisionView w:inkAnnotations="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430"/>
    <w:rsid w:val="0000001F"/>
    <w:rsid w:val="00052A8E"/>
    <w:rsid w:val="0005636C"/>
    <w:rsid w:val="00066333"/>
    <w:rsid w:val="00071FE1"/>
    <w:rsid w:val="00077A41"/>
    <w:rsid w:val="00080319"/>
    <w:rsid w:val="000A61AA"/>
    <w:rsid w:val="000B11E3"/>
    <w:rsid w:val="000B4F3C"/>
    <w:rsid w:val="00101C76"/>
    <w:rsid w:val="001250FB"/>
    <w:rsid w:val="001640C6"/>
    <w:rsid w:val="00176320"/>
    <w:rsid w:val="00187EE2"/>
    <w:rsid w:val="001C63D5"/>
    <w:rsid w:val="001E49C7"/>
    <w:rsid w:val="002018C3"/>
    <w:rsid w:val="002051DF"/>
    <w:rsid w:val="0029362B"/>
    <w:rsid w:val="0029600D"/>
    <w:rsid w:val="002E3FF6"/>
    <w:rsid w:val="002E4A7E"/>
    <w:rsid w:val="00344B05"/>
    <w:rsid w:val="00347E20"/>
    <w:rsid w:val="00351CDF"/>
    <w:rsid w:val="00356A9B"/>
    <w:rsid w:val="003C4A83"/>
    <w:rsid w:val="003D67BC"/>
    <w:rsid w:val="003E6BFF"/>
    <w:rsid w:val="003F1C8B"/>
    <w:rsid w:val="003F7AAA"/>
    <w:rsid w:val="004117ED"/>
    <w:rsid w:val="00415FA6"/>
    <w:rsid w:val="00432869"/>
    <w:rsid w:val="00444828"/>
    <w:rsid w:val="004C7D22"/>
    <w:rsid w:val="004F4131"/>
    <w:rsid w:val="005120F4"/>
    <w:rsid w:val="005935B4"/>
    <w:rsid w:val="005C7FA7"/>
    <w:rsid w:val="00611942"/>
    <w:rsid w:val="0062209C"/>
    <w:rsid w:val="0065288B"/>
    <w:rsid w:val="00685593"/>
    <w:rsid w:val="006900CF"/>
    <w:rsid w:val="006B137D"/>
    <w:rsid w:val="006B4EF7"/>
    <w:rsid w:val="00701A16"/>
    <w:rsid w:val="00740477"/>
    <w:rsid w:val="00753073"/>
    <w:rsid w:val="00760751"/>
    <w:rsid w:val="007678BE"/>
    <w:rsid w:val="007778C0"/>
    <w:rsid w:val="00784E93"/>
    <w:rsid w:val="007C6B04"/>
    <w:rsid w:val="00801E00"/>
    <w:rsid w:val="00837E7E"/>
    <w:rsid w:val="00867020"/>
    <w:rsid w:val="00875693"/>
    <w:rsid w:val="008817FF"/>
    <w:rsid w:val="008A76F3"/>
    <w:rsid w:val="008C6FFF"/>
    <w:rsid w:val="008E45A7"/>
    <w:rsid w:val="009148DE"/>
    <w:rsid w:val="00922CEB"/>
    <w:rsid w:val="0093465B"/>
    <w:rsid w:val="00986362"/>
    <w:rsid w:val="009A001B"/>
    <w:rsid w:val="009E3ACC"/>
    <w:rsid w:val="009E7779"/>
    <w:rsid w:val="00A166DE"/>
    <w:rsid w:val="00A50A4E"/>
    <w:rsid w:val="00A65C5C"/>
    <w:rsid w:val="00A73D0F"/>
    <w:rsid w:val="00AA26B4"/>
    <w:rsid w:val="00AC16CC"/>
    <w:rsid w:val="00AF5927"/>
    <w:rsid w:val="00B00E2E"/>
    <w:rsid w:val="00B673BF"/>
    <w:rsid w:val="00BC20D8"/>
    <w:rsid w:val="00BD1171"/>
    <w:rsid w:val="00BD3D5F"/>
    <w:rsid w:val="00BE21DC"/>
    <w:rsid w:val="00BE2F72"/>
    <w:rsid w:val="00BF7ADA"/>
    <w:rsid w:val="00C35A40"/>
    <w:rsid w:val="00C4363D"/>
    <w:rsid w:val="00C47C2B"/>
    <w:rsid w:val="00C60F4D"/>
    <w:rsid w:val="00CA278F"/>
    <w:rsid w:val="00CD6E8D"/>
    <w:rsid w:val="00D05C72"/>
    <w:rsid w:val="00D47A47"/>
    <w:rsid w:val="00D63116"/>
    <w:rsid w:val="00D85325"/>
    <w:rsid w:val="00D917BC"/>
    <w:rsid w:val="00DB09AA"/>
    <w:rsid w:val="00DB46C7"/>
    <w:rsid w:val="00DB5A0D"/>
    <w:rsid w:val="00E17672"/>
    <w:rsid w:val="00E262DE"/>
    <w:rsid w:val="00E32579"/>
    <w:rsid w:val="00E44372"/>
    <w:rsid w:val="00E56BDA"/>
    <w:rsid w:val="00E64318"/>
    <w:rsid w:val="00E81917"/>
    <w:rsid w:val="00ED032F"/>
    <w:rsid w:val="00ED4490"/>
    <w:rsid w:val="00F14430"/>
    <w:rsid w:val="00F17277"/>
    <w:rsid w:val="00F51662"/>
    <w:rsid w:val="00FC4162"/>
    <w:rsid w:val="00F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E6EAE-4AF9-824E-BF9B-8B62D1C6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3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250F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F144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F14430"/>
    <w:rPr>
      <w:rFonts w:ascii="Calibri" w:eastAsia="Calibri" w:hAnsi="Calibri" w:cs="Times New Roman"/>
    </w:rPr>
  </w:style>
  <w:style w:type="paragraph" w:styleId="FootnoteText">
    <w:name w:val="footnote text"/>
    <w:aliases w:val="Текст сноски Знак Знак Знак Char,Текст сноски Знак Знак Char,Текст сноски Знак Знак Знак,Текст сноски Знак Знак,Footnote Text1,footnote text"/>
    <w:basedOn w:val="Normal"/>
    <w:link w:val="FootnoteTextChar"/>
    <w:unhideWhenUsed/>
    <w:rsid w:val="00F14430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Текст сноски Знак Знак Знак Char Char,Текст сноски Знак Знак Char Char,Текст сноски Знак Знак Знак Char1,Текст сноски Знак Знак Char1,Footnote Text1 Char,footnote text Char"/>
    <w:basedOn w:val="DefaultParagraphFont"/>
    <w:link w:val="FootnoteText"/>
    <w:rsid w:val="00F1443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14430"/>
    <w:rPr>
      <w:vertAlign w:val="superscript"/>
    </w:rPr>
  </w:style>
  <w:style w:type="paragraph" w:styleId="ListParagraph">
    <w:name w:val="List Paragraph"/>
    <w:aliases w:val="Normal 1,Dot pt,List Paragraph1,F5 List Paragraph,List Paragraph Char Char Char,Indicator Text,Numbered Para 1,Bullet 1,Bullet Points,MAIN CONTENT,Párrafo de lista,Recommendation,List Paragraph2,List Paragraph (numbered (a)),NumberedParas"/>
    <w:basedOn w:val="Normal"/>
    <w:link w:val="ListParagraphChar"/>
    <w:uiPriority w:val="34"/>
    <w:qFormat/>
    <w:rsid w:val="00F14430"/>
    <w:pPr>
      <w:ind w:left="720"/>
      <w:contextualSpacing/>
    </w:pPr>
  </w:style>
  <w:style w:type="paragraph" w:customStyle="1" w:styleId="Default">
    <w:name w:val="Default"/>
    <w:rsid w:val="00F14430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</w:rPr>
  </w:style>
  <w:style w:type="character" w:customStyle="1" w:styleId="ListParagraphChar">
    <w:name w:val="List Paragraph Char"/>
    <w:aliases w:val="Normal 1 Char,Dot pt Char,List Paragraph1 Char,F5 List Paragraph Char,List Paragraph Char Char Char Char,Indicator Text Char,Numbered Para 1 Char,Bullet 1 Char,Bullet Points Char,MAIN CONTENT Char,Párrafo de lista Char"/>
    <w:link w:val="ListParagraph"/>
    <w:uiPriority w:val="34"/>
    <w:qFormat/>
    <w:locked/>
    <w:rsid w:val="00F1443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F14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44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4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430"/>
    <w:rPr>
      <w:rFonts w:ascii="Calibri" w:eastAsia="Calibri" w:hAnsi="Calibri" w:cs="Times New Roman"/>
    </w:rPr>
  </w:style>
  <w:style w:type="table" w:customStyle="1" w:styleId="ListTable7Colorful1">
    <w:name w:val="List Table 7 Colorful1"/>
    <w:basedOn w:val="TableNormal"/>
    <w:uiPriority w:val="52"/>
    <w:rsid w:val="00F14430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qFormat/>
    <w:rsid w:val="00F14430"/>
    <w:pPr>
      <w:spacing w:after="0" w:line="240" w:lineRule="auto"/>
    </w:pPr>
    <w:rPr>
      <w:rFonts w:ascii="Times New Roman" w:eastAsia="Times New Roman" w:hAnsi="Times New Roman"/>
      <w:sz w:val="20"/>
      <w:szCs w:val="20"/>
      <w:lang w:val="sq-AL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14430"/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Bodytext2">
    <w:name w:val="Body text (2)_"/>
    <w:link w:val="Bodytext20"/>
    <w:locked/>
    <w:rsid w:val="00F144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14430"/>
    <w:pPr>
      <w:widowControl w:val="0"/>
      <w:shd w:val="clear" w:color="auto" w:fill="FFFFFF"/>
      <w:spacing w:before="600" w:after="0" w:line="270" w:lineRule="exact"/>
      <w:jc w:val="both"/>
    </w:pPr>
    <w:rPr>
      <w:rFonts w:ascii="Times New Roman" w:eastAsia="Times New Roman" w:hAnsi="Times New Roman"/>
    </w:rPr>
  </w:style>
  <w:style w:type="table" w:customStyle="1" w:styleId="PlainTable51">
    <w:name w:val="Plain Table 51"/>
    <w:basedOn w:val="TableNormal"/>
    <w:uiPriority w:val="45"/>
    <w:rsid w:val="00F14430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3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44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430"/>
    <w:pPr>
      <w:spacing w:after="200"/>
    </w:pPr>
    <w:rPr>
      <w:rFonts w:ascii="Calibri" w:eastAsia="Calibri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430"/>
    <w:rPr>
      <w:rFonts w:ascii="Calibri" w:eastAsia="Calibri" w:hAnsi="Calibri" w:cs="Times New Roman"/>
      <w:b/>
      <w:bCs/>
      <w:sz w:val="20"/>
      <w:szCs w:val="20"/>
      <w:lang w:val="sq-AL"/>
    </w:rPr>
  </w:style>
  <w:style w:type="character" w:customStyle="1" w:styleId="FootnoteTextChar1">
    <w:name w:val="Footnote Text Char1"/>
    <w:uiPriority w:val="99"/>
    <w:semiHidden/>
    <w:rsid w:val="0093465B"/>
    <w:rPr>
      <w:rFonts w:ascii="Calibri" w:eastAsia="Calibri" w:hAnsi="Calibri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250FB"/>
    <w:rPr>
      <w:rFonts w:ascii="Cambria" w:eastAsia="Times New Roman" w:hAnsi="Cambria" w:cs="Times New Roman"/>
      <w:color w:val="365F9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051DF"/>
    <w:pPr>
      <w:tabs>
        <w:tab w:val="left" w:pos="426"/>
        <w:tab w:val="right" w:leader="dot" w:pos="9016"/>
      </w:tabs>
      <w:spacing w:before="120" w:after="120" w:line="240" w:lineRule="auto"/>
    </w:pPr>
    <w:rPr>
      <w:rFonts w:ascii="Palatino Linotype" w:eastAsiaTheme="minorHAnsi" w:hAnsi="Palatino Linotype" w:cstheme="minorHAnsi"/>
      <w:b/>
      <w:bCs/>
      <w:smallCaps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2051DF"/>
    <w:pPr>
      <w:tabs>
        <w:tab w:val="left" w:pos="880"/>
        <w:tab w:val="right" w:leader="dot" w:pos="9016"/>
      </w:tabs>
      <w:spacing w:after="0" w:line="240" w:lineRule="auto"/>
      <w:ind w:left="426"/>
    </w:pPr>
    <w:rPr>
      <w:rFonts w:ascii="Palatino Linotype" w:eastAsiaTheme="minorHAnsi" w:hAnsi="Palatino Linotype" w:cstheme="minorHAnsi"/>
      <w:noProof/>
      <w:color w:val="FF0000"/>
      <w:szCs w:val="20"/>
      <w:lang w:val="sq-AL"/>
    </w:rPr>
  </w:style>
  <w:style w:type="paragraph" w:styleId="TOC3">
    <w:name w:val="toc 3"/>
    <w:basedOn w:val="Normal"/>
    <w:next w:val="Normal"/>
    <w:autoRedefine/>
    <w:uiPriority w:val="39"/>
    <w:unhideWhenUsed/>
    <w:rsid w:val="002051DF"/>
    <w:pPr>
      <w:spacing w:after="0" w:line="240" w:lineRule="auto"/>
      <w:ind w:left="440"/>
    </w:pPr>
    <w:rPr>
      <w:rFonts w:ascii="Palatino Linotype" w:eastAsiaTheme="minorHAnsi" w:hAnsi="Palatino Linotype" w:cstheme="minorHAnsi"/>
      <w:iCs/>
      <w:szCs w:val="20"/>
      <w:lang w:val="en-GB"/>
    </w:rPr>
  </w:style>
  <w:style w:type="character" w:styleId="Hyperlink">
    <w:name w:val="Hyperlink"/>
    <w:uiPriority w:val="99"/>
    <w:rsid w:val="002051D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051DF"/>
    <w:rPr>
      <w:rFonts w:cs="Arial"/>
      <w:b/>
      <w:bCs/>
      <w:kern w:val="32"/>
      <w:lang w:val="en-US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51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51DF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5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png" /><Relationship Id="rId18" Type="http://schemas.openxmlformats.org/officeDocument/2006/relationships/chart" Target="charts/chart8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chart" Target="charts/chart3.xml" /><Relationship Id="rId17" Type="http://schemas.openxmlformats.org/officeDocument/2006/relationships/chart" Target="charts/chart7.xml" /><Relationship Id="rId2" Type="http://schemas.openxmlformats.org/officeDocument/2006/relationships/numbering" Target="numbering.xml" /><Relationship Id="rId16" Type="http://schemas.openxmlformats.org/officeDocument/2006/relationships/chart" Target="charts/chart6.xml" /><Relationship Id="rId20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chart" Target="charts/chart5.xml" /><Relationship Id="rId10" Type="http://schemas.openxmlformats.org/officeDocument/2006/relationships/chart" Target="charts/chart2.xml" /><Relationship Id="rId19" Type="http://schemas.openxmlformats.org/officeDocument/2006/relationships/chart" Target="charts/chart9.xml" /><Relationship Id="rId4" Type="http://schemas.openxmlformats.org/officeDocument/2006/relationships/settings" Target="settings.xml" /><Relationship Id="rId9" Type="http://schemas.openxmlformats.org/officeDocument/2006/relationships/chart" Target="charts/chart1.xml" /><Relationship Id="rId14" Type="http://schemas.openxmlformats.org/officeDocument/2006/relationships/chart" Target="charts/chart4.xml" /><Relationship Id="rId22" Type="http://schemas.openxmlformats.org/officeDocument/2006/relationships/theme" Target="theme/theme1.xml" 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 /><Relationship Id="rId1" Type="http://schemas.openxmlformats.org/officeDocument/2006/relationships/themeOverride" Target="../theme/themeOverride1.xml" 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edona.lami\Desktop\Sektori%20i%20Koordinimin%20Institucional\Raporti%20PP%202021\te%20pergjithshme%202021\VOLUMI%20NE%20PROKURORITE%20E%20SHKALLES%20SE%20PARE%20-2021xls-.xls" TargetMode="External" /><Relationship Id="rId1" Type="http://schemas.openxmlformats.org/officeDocument/2006/relationships/themeOverride" Target="../theme/themeOverride2.xml" 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 /><Relationship Id="rId2" Type="http://schemas.openxmlformats.org/officeDocument/2006/relationships/package" Target="../embeddings/Microsoft_Excel_Worksheet2.xlsx" /><Relationship Id="rId1" Type="http://schemas.openxmlformats.org/officeDocument/2006/relationships/themeOverride" Target="../theme/themeOverride3.xml" 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 /><Relationship Id="rId1" Type="http://schemas.openxmlformats.org/officeDocument/2006/relationships/themeOverride" Target="../theme/themeOverride4.xml" 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 /><Relationship Id="rId2" Type="http://schemas.openxmlformats.org/officeDocument/2006/relationships/package" Target="../embeddings/Microsoft_Excel_Worksheet4.xlsx" /><Relationship Id="rId1" Type="http://schemas.openxmlformats.org/officeDocument/2006/relationships/themeOverride" Target="../theme/themeOverride5.xml" 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 /><Relationship Id="rId2" Type="http://schemas.openxmlformats.org/officeDocument/2006/relationships/package" Target="../embeddings/Microsoft_Excel_Worksheet5.xlsx" /><Relationship Id="rId1" Type="http://schemas.openxmlformats.org/officeDocument/2006/relationships/themeOverride" Target="../theme/themeOverride6.xml" 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 /><Relationship Id="rId2" Type="http://schemas.openxmlformats.org/officeDocument/2006/relationships/package" Target="../embeddings/Microsoft_Excel_Worksheet6.xlsx" /><Relationship Id="rId1" Type="http://schemas.openxmlformats.org/officeDocument/2006/relationships/themeOverride" Target="../theme/themeOverride7.xml" 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 /><Relationship Id="rId2" Type="http://schemas.openxmlformats.org/officeDocument/2006/relationships/package" Target="../embeddings/Microsoft_Excel_Worksheet7.xlsx" /><Relationship Id="rId1" Type="http://schemas.openxmlformats.org/officeDocument/2006/relationships/themeOverride" Target="../theme/themeOverride8.xml" 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945177107694568E-2"/>
          <c:y val="9.1327814792381723E-2"/>
          <c:w val="0.92899341873310648"/>
          <c:h val="0.88892788797089206"/>
        </c:manualLayout>
      </c:layout>
      <c:pie3DChart>
        <c:varyColors val="1"/>
        <c:ser>
          <c:idx val="0"/>
          <c:order val="0"/>
          <c:tx>
            <c:v>Tabelle1!#REF!</c:v>
          </c:tx>
          <c:spPr>
            <a:solidFill>
              <a:srgbClr val="FF9999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 prstMaterial="plastic">
              <a:bevelT w="762000" h="635000"/>
              <a:bevelB w="762000" h="635000" prst="relaxedInset"/>
            </a:sp3d>
          </c:spPr>
          <c:explosion val="13"/>
          <c:dPt>
            <c:idx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plastic">
                <a:bevelT w="762000" h="635000"/>
                <a:bevelB w="762000" h="635000" prst="relaxedInset"/>
              </a:sp3d>
            </c:spPr>
            <c:extLst>
              <c:ext xmlns:c16="http://schemas.microsoft.com/office/drawing/2014/chart" uri="{C3380CC4-5D6E-409C-BE32-E72D297353CC}">
                <c16:uniqueId val="{00000001-2CA1-4270-BC70-DCA06B99C518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plastic">
                <a:bevelT w="762000" h="635000"/>
                <a:bevelB w="762000" h="635000" prst="relaxedInset"/>
              </a:sp3d>
            </c:spPr>
            <c:extLst>
              <c:ext xmlns:c16="http://schemas.microsoft.com/office/drawing/2014/chart" uri="{C3380CC4-5D6E-409C-BE32-E72D297353CC}">
                <c16:uniqueId val="{00000003-2CA1-4270-BC70-DCA06B99C518}"/>
              </c:ext>
            </c:extLst>
          </c:dPt>
          <c:dPt>
            <c:idx val="2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plastic">
                <a:bevelT w="762000" h="635000"/>
                <a:bevelB w="762000" h="635000" prst="relaxedInset"/>
              </a:sp3d>
            </c:spPr>
            <c:extLst>
              <c:ext xmlns:c16="http://schemas.microsoft.com/office/drawing/2014/chart" uri="{C3380CC4-5D6E-409C-BE32-E72D297353CC}">
                <c16:uniqueId val="{00000005-2CA1-4270-BC70-DCA06B99C518}"/>
              </c:ext>
            </c:extLst>
          </c:dPt>
          <c:dPt>
            <c:idx val="3"/>
            <c:bubble3D val="0"/>
            <c:spPr>
              <a:solidFill>
                <a:schemeClr val="accent3">
                  <a:lumMod val="75000"/>
                </a:schemeClr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plastic">
                <a:bevelT w="762000" h="635000"/>
                <a:bevelB w="762000" h="635000" prst="relaxedInset"/>
              </a:sp3d>
            </c:spPr>
            <c:extLst>
              <c:ext xmlns:c16="http://schemas.microsoft.com/office/drawing/2014/chart" uri="{C3380CC4-5D6E-409C-BE32-E72D297353CC}">
                <c16:uniqueId val="{00000007-2CA1-4270-BC70-DCA06B99C518}"/>
              </c:ext>
            </c:extLst>
          </c:dPt>
          <c:dLbls>
            <c:dLbl>
              <c:idx val="0"/>
              <c:layout>
                <c:manualLayout>
                  <c:x val="-6.271351406206039E-3"/>
                  <c:y val="0.47288751299249987"/>
                </c:manualLayout>
              </c:layout>
              <c:spPr>
                <a:solidFill>
                  <a:schemeClr val="bg1">
                    <a:lumMod val="85000"/>
                  </a:schemeClr>
                </a:solidFill>
                <a:ln cmpd="dbl"/>
                <a:effectLst>
                  <a:innerShdw blurRad="63500" dist="50800" dir="189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T/>
                </a:sp3d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A1-4270-BC70-DCA06B99C518}"/>
                </c:ext>
              </c:extLst>
            </c:dLbl>
            <c:dLbl>
              <c:idx val="1"/>
              <c:layout>
                <c:manualLayout>
                  <c:x val="8.4358523725834841E-2"/>
                  <c:y val="0.10332361516034988"/>
                </c:manualLayout>
              </c:layout>
              <c:spPr>
                <a:solidFill>
                  <a:schemeClr val="bg1">
                    <a:lumMod val="85000"/>
                  </a:schemeClr>
                </a:solidFill>
                <a:ln cmpd="dbl"/>
                <a:effectLst>
                  <a:innerShdw blurRad="63500" dist="50800" dir="189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T/>
                </a:sp3d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A1-4270-BC70-DCA06B99C518}"/>
                </c:ext>
              </c:extLst>
            </c:dLbl>
            <c:dLbl>
              <c:idx val="2"/>
              <c:layout>
                <c:manualLayout>
                  <c:x val="-2.3432923257176346E-3"/>
                  <c:y val="-9.2208986697175661E-3"/>
                </c:manualLayout>
              </c:layout>
              <c:spPr>
                <a:solidFill>
                  <a:schemeClr val="bg1">
                    <a:lumMod val="85000"/>
                  </a:schemeClr>
                </a:solidFill>
                <a:ln cmpd="dbl"/>
                <a:effectLst>
                  <a:innerShdw blurRad="63500" dist="50800" dir="189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T/>
                </a:sp3d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A1-4270-BC70-DCA06B99C518}"/>
                </c:ext>
              </c:extLst>
            </c:dLbl>
            <c:dLbl>
              <c:idx val="3"/>
              <c:layout>
                <c:manualLayout>
                  <c:x val="0.1150846214521955"/>
                  <c:y val="-1.3212123994704743E-2"/>
                </c:manualLayout>
              </c:layout>
              <c:spPr>
                <a:solidFill>
                  <a:schemeClr val="bg1">
                    <a:lumMod val="85000"/>
                  </a:schemeClr>
                </a:solidFill>
                <a:ln cmpd="dbl"/>
                <a:effectLst>
                  <a:innerShdw blurRad="63500" dist="50800" dir="189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T/>
                </a:sp3d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CA1-4270-BC70-DCA06B99C518}"/>
                </c:ext>
              </c:extLst>
            </c:dLbl>
            <c:spPr>
              <a:solidFill>
                <a:schemeClr val="bg1">
                  <a:lumMod val="85000"/>
                </a:schemeClr>
              </a:solidFill>
              <a:ln cmpd="dbl"/>
              <a:effectLst>
                <a:innerShdw blurRad="63500" dist="50800" dir="189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Tabelle1!$A$1:$A$4</c:f>
              <c:strCache>
                <c:ptCount val="4"/>
                <c:pt idx="0">
                  <c:v>Regjistruar </c:v>
                </c:pt>
                <c:pt idx="1">
                  <c:v>Mosfilluar</c:v>
                </c:pt>
                <c:pt idx="2">
                  <c:v>Mbartur </c:v>
                </c:pt>
                <c:pt idx="3">
                  <c:v>Rifilluar </c:v>
                </c:pt>
              </c:strCache>
            </c:strRef>
          </c:cat>
          <c:val>
            <c:numRef>
              <c:f>Tabelle1!$B$1:$B$4</c:f>
              <c:numCache>
                <c:formatCode>General</c:formatCode>
                <c:ptCount val="4"/>
                <c:pt idx="0">
                  <c:v>28349</c:v>
                </c:pt>
                <c:pt idx="1">
                  <c:v>13501</c:v>
                </c:pt>
                <c:pt idx="2">
                  <c:v>18192</c:v>
                </c:pt>
                <c:pt idx="3">
                  <c:v>934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CA1-4270-BC70-DCA06B99C5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7">
          <a:noFill/>
        </a:ln>
      </c:spPr>
    </c:plotArea>
    <c:plotVisOnly val="1"/>
    <c:dispBlanksAs val="zero"/>
    <c:showDLblsOverMax val="0"/>
  </c:chart>
  <c:spPr>
    <a:solidFill>
      <a:schemeClr val="bg1"/>
    </a:solidFill>
    <a:ln>
      <a:noFill/>
    </a:ln>
    <a:effectLst>
      <a:innerShdw blurRad="901700" dist="838200" dir="12000000">
        <a:prstClr val="black">
          <a:alpha val="50000"/>
        </a:prstClr>
      </a:innerShdw>
    </a:effectLst>
    <a:scene3d>
      <a:camera prst="orthographicFront"/>
      <a:lightRig rig="threePt" dir="t"/>
    </a:scene3d>
    <a:sp3d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>
                <a:solidFill>
                  <a:sysClr val="windowText" lastClr="000000"/>
                </a:solidFill>
              </a:rPr>
              <a:t>Regjistruar 2021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Sheet2!$B$68:$B$89</c:f>
              <c:strCache>
                <c:ptCount val="22"/>
                <c:pt idx="0">
                  <c:v>Tirane</c:v>
                </c:pt>
                <c:pt idx="1">
                  <c:v>Durres</c:v>
                </c:pt>
                <c:pt idx="2">
                  <c:v>Vlore</c:v>
                </c:pt>
                <c:pt idx="3">
                  <c:v>Elbasan</c:v>
                </c:pt>
                <c:pt idx="4">
                  <c:v>Shkoder</c:v>
                </c:pt>
                <c:pt idx="5">
                  <c:v>Fier</c:v>
                </c:pt>
                <c:pt idx="6">
                  <c:v>Lezhe</c:v>
                </c:pt>
                <c:pt idx="7">
                  <c:v>Korce</c:v>
                </c:pt>
                <c:pt idx="8">
                  <c:v>Berat</c:v>
                </c:pt>
                <c:pt idx="9">
                  <c:v>Lushnje</c:v>
                </c:pt>
                <c:pt idx="10">
                  <c:v>Sarande</c:v>
                </c:pt>
                <c:pt idx="11">
                  <c:v>Kruje</c:v>
                </c:pt>
                <c:pt idx="12">
                  <c:v>Gjirokaster</c:v>
                </c:pt>
                <c:pt idx="13">
                  <c:v>Kukes</c:v>
                </c:pt>
                <c:pt idx="14">
                  <c:v>Diber</c:v>
                </c:pt>
                <c:pt idx="15">
                  <c:v>Kavaje</c:v>
                </c:pt>
                <c:pt idx="16">
                  <c:v>Pogradec</c:v>
                </c:pt>
                <c:pt idx="17">
                  <c:v>Kurbin</c:v>
                </c:pt>
                <c:pt idx="18">
                  <c:v>Tropoje</c:v>
                </c:pt>
                <c:pt idx="19">
                  <c:v>Mat</c:v>
                </c:pt>
                <c:pt idx="20">
                  <c:v>Permet</c:v>
                </c:pt>
                <c:pt idx="21">
                  <c:v>Puke</c:v>
                </c:pt>
              </c:strCache>
            </c:strRef>
          </c:cat>
          <c:val>
            <c:numRef>
              <c:f>Sheet2!$C$68:$C$89</c:f>
              <c:numCache>
                <c:formatCode>General</c:formatCode>
                <c:ptCount val="22"/>
                <c:pt idx="0">
                  <c:v>9149</c:v>
                </c:pt>
                <c:pt idx="1">
                  <c:v>2483</c:v>
                </c:pt>
                <c:pt idx="2">
                  <c:v>2100</c:v>
                </c:pt>
                <c:pt idx="3">
                  <c:v>1960</c:v>
                </c:pt>
                <c:pt idx="4">
                  <c:v>1614</c:v>
                </c:pt>
                <c:pt idx="5">
                  <c:v>1420</c:v>
                </c:pt>
                <c:pt idx="6">
                  <c:v>1213</c:v>
                </c:pt>
                <c:pt idx="7">
                  <c:v>1183</c:v>
                </c:pt>
                <c:pt idx="8">
                  <c:v>942</c:v>
                </c:pt>
                <c:pt idx="9">
                  <c:v>918</c:v>
                </c:pt>
                <c:pt idx="10">
                  <c:v>732</c:v>
                </c:pt>
                <c:pt idx="11">
                  <c:v>690</c:v>
                </c:pt>
                <c:pt idx="12">
                  <c:v>660</c:v>
                </c:pt>
                <c:pt idx="13">
                  <c:v>553</c:v>
                </c:pt>
                <c:pt idx="14">
                  <c:v>551</c:v>
                </c:pt>
                <c:pt idx="15">
                  <c:v>549</c:v>
                </c:pt>
                <c:pt idx="16">
                  <c:v>514</c:v>
                </c:pt>
                <c:pt idx="17">
                  <c:v>455</c:v>
                </c:pt>
                <c:pt idx="18">
                  <c:v>282</c:v>
                </c:pt>
                <c:pt idx="19">
                  <c:v>169</c:v>
                </c:pt>
                <c:pt idx="20">
                  <c:v>141</c:v>
                </c:pt>
                <c:pt idx="2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3A-4D4D-B5EF-207AF2991E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3356672"/>
        <c:axId val="217655168"/>
        <c:axId val="0"/>
      </c:bar3DChart>
      <c:catAx>
        <c:axId val="8335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7655168"/>
        <c:crosses val="autoZero"/>
        <c:auto val="1"/>
        <c:lblAlgn val="ctr"/>
        <c:lblOffset val="100"/>
        <c:noMultiLvlLbl val="0"/>
      </c:catAx>
      <c:valAx>
        <c:axId val="21765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56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solidFill>
          <a:schemeClr val="bg1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4349580192351619"/>
          <c:y val="0.10271316262083217"/>
          <c:w val="0.8004356116231478"/>
          <c:h val="0.84873712861851813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5">
                <a:lumMod val="75000"/>
                <a:alpha val="64000"/>
              </a:schemeClr>
            </a:solidFill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 prstMaterial="dkEdge"/>
          </c:spPr>
          <c:invertIfNegative val="0"/>
          <c:dLbls>
            <c:spPr>
              <a:noFill/>
              <a:ln w="25377">
                <a:noFill/>
              </a:ln>
            </c:spPr>
            <c:txPr>
              <a:bodyPr/>
              <a:lstStyle/>
              <a:p>
                <a:pPr>
                  <a:defRPr sz="799" b="1"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'ne hetim'!$N$7:$N$28</c:f>
              <c:strCache>
                <c:ptCount val="22"/>
                <c:pt idx="0">
                  <c:v>Përmet</c:v>
                </c:pt>
                <c:pt idx="1">
                  <c:v>Pukë</c:v>
                </c:pt>
                <c:pt idx="2">
                  <c:v>Mat</c:v>
                </c:pt>
                <c:pt idx="3">
                  <c:v>Tropojë</c:v>
                </c:pt>
                <c:pt idx="4">
                  <c:v>Kukës</c:v>
                </c:pt>
                <c:pt idx="5">
                  <c:v>Kurbin</c:v>
                </c:pt>
                <c:pt idx="6">
                  <c:v>Pogradec</c:v>
                </c:pt>
                <c:pt idx="7">
                  <c:v>Kavajë</c:v>
                </c:pt>
                <c:pt idx="8">
                  <c:v>Krujë</c:v>
                </c:pt>
                <c:pt idx="9">
                  <c:v>Dibër</c:v>
                </c:pt>
                <c:pt idx="10">
                  <c:v>Lushnje</c:v>
                </c:pt>
                <c:pt idx="11">
                  <c:v>Gjirokastër</c:v>
                </c:pt>
                <c:pt idx="12">
                  <c:v>Lezhë</c:v>
                </c:pt>
                <c:pt idx="13">
                  <c:v>Saranda</c:v>
                </c:pt>
                <c:pt idx="14">
                  <c:v>Berat</c:v>
                </c:pt>
                <c:pt idx="15">
                  <c:v>Korçë</c:v>
                </c:pt>
                <c:pt idx="16">
                  <c:v>Fier</c:v>
                </c:pt>
                <c:pt idx="17">
                  <c:v>Shkodër</c:v>
                </c:pt>
                <c:pt idx="18">
                  <c:v>Elbasan</c:v>
                </c:pt>
                <c:pt idx="19">
                  <c:v>Vlorë</c:v>
                </c:pt>
                <c:pt idx="20">
                  <c:v>Durrës</c:v>
                </c:pt>
                <c:pt idx="21">
                  <c:v>Tiranë</c:v>
                </c:pt>
              </c:strCache>
            </c:strRef>
          </c:cat>
          <c:val>
            <c:numRef>
              <c:f>'ne hetim'!$O$7:$O$28</c:f>
              <c:numCache>
                <c:formatCode>General</c:formatCode>
                <c:ptCount val="22"/>
                <c:pt idx="0">
                  <c:v>231</c:v>
                </c:pt>
                <c:pt idx="1">
                  <c:v>265</c:v>
                </c:pt>
                <c:pt idx="2">
                  <c:v>286</c:v>
                </c:pt>
                <c:pt idx="3">
                  <c:v>523</c:v>
                </c:pt>
                <c:pt idx="4">
                  <c:v>956</c:v>
                </c:pt>
                <c:pt idx="5">
                  <c:v>966</c:v>
                </c:pt>
                <c:pt idx="6">
                  <c:v>970</c:v>
                </c:pt>
                <c:pt idx="7">
                  <c:v>1144</c:v>
                </c:pt>
                <c:pt idx="8">
                  <c:v>1539</c:v>
                </c:pt>
                <c:pt idx="9">
                  <c:v>1568</c:v>
                </c:pt>
                <c:pt idx="10">
                  <c:v>1757</c:v>
                </c:pt>
                <c:pt idx="11">
                  <c:v>1861</c:v>
                </c:pt>
                <c:pt idx="12">
                  <c:v>1934</c:v>
                </c:pt>
                <c:pt idx="13">
                  <c:v>2114</c:v>
                </c:pt>
                <c:pt idx="14">
                  <c:v>2664</c:v>
                </c:pt>
                <c:pt idx="15">
                  <c:v>2951</c:v>
                </c:pt>
                <c:pt idx="16">
                  <c:v>2958</c:v>
                </c:pt>
                <c:pt idx="17">
                  <c:v>3541</c:v>
                </c:pt>
                <c:pt idx="18">
                  <c:v>3740</c:v>
                </c:pt>
                <c:pt idx="19">
                  <c:v>4722</c:v>
                </c:pt>
                <c:pt idx="20">
                  <c:v>5996</c:v>
                </c:pt>
                <c:pt idx="21">
                  <c:v>18290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4C-4095-8ECE-9B18E94070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1"/>
        <c:shape val="cylinder"/>
        <c:axId val="219945984"/>
        <c:axId val="219947776"/>
        <c:axId val="0"/>
      </c:bar3DChart>
      <c:catAx>
        <c:axId val="219945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solidFill>
            <a:schemeClr val="bg1"/>
          </a:solidFill>
          <a:effectLst>
            <a:glow rad="127000">
              <a:schemeClr val="bg1">
                <a:lumMod val="95000"/>
              </a:schemeClr>
            </a:glow>
          </a:effectLst>
        </c:spPr>
        <c:txPr>
          <a:bodyPr/>
          <a:lstStyle/>
          <a:p>
            <a:pPr>
              <a:defRPr sz="799" b="1">
                <a:solidFill>
                  <a:sysClr val="windowText" lastClr="000000"/>
                </a:solidFill>
              </a:defRPr>
            </a:pPr>
            <a:endParaRPr lang="en-US"/>
          </a:p>
        </c:txPr>
        <c:crossAx val="219947776"/>
        <c:crosses val="autoZero"/>
        <c:auto val="1"/>
        <c:lblAlgn val="ctr"/>
        <c:lblOffset val="100"/>
        <c:noMultiLvlLbl val="0"/>
      </c:catAx>
      <c:valAx>
        <c:axId val="219947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9945984"/>
        <c:crosses val="autoZero"/>
        <c:crossBetween val="between"/>
      </c:valAx>
      <c:spPr>
        <a:noFill/>
        <a:ln w="25377">
          <a:noFill/>
        </a:ln>
      </c:spPr>
    </c:plotArea>
    <c:plotVisOnly val="1"/>
    <c:dispBlanksAs val="gap"/>
    <c:showDLblsOverMax val="0"/>
  </c:chart>
  <c:spPr>
    <a:solidFill>
      <a:sysClr val="window" lastClr="FFFFFF">
        <a:alpha val="48000"/>
      </a:sysClr>
    </a:solidFill>
    <a:ln>
      <a:solidFill>
        <a:schemeClr val="bg1"/>
      </a:solidFill>
    </a:ln>
    <a:effectLst>
      <a:glow rad="12700">
        <a:schemeClr val="bg1"/>
      </a:glow>
    </a:effectLst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Çështje  të përfunduara mesatarja për prokuror </a:t>
            </a:r>
          </a:p>
        </c:rich>
      </c:tx>
      <c:layout>
        <c:manualLayout>
          <c:xMode val="edge"/>
          <c:yMode val="edge"/>
          <c:x val="0.30333333333333334"/>
          <c:y val="4.90956072351421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5234536797458261E-2"/>
          <c:y val="0.13358862264173282"/>
          <c:w val="0.96599814010618501"/>
          <c:h val="0.66391295830391284"/>
        </c:manualLayout>
      </c:layout>
      <c:barChart>
        <c:barDir val="col"/>
        <c:grouping val="clustered"/>
        <c:varyColors val="0"/>
        <c:ser>
          <c:idx val="2"/>
          <c:order val="0"/>
          <c:spPr>
            <a:solidFill>
              <a:schemeClr val="accent1">
                <a:alpha val="99000"/>
              </a:schemeClr>
            </a:solidFill>
            <a:ln>
              <a:noFill/>
            </a:ln>
            <a:effectLst>
              <a:outerShdw dir="4020000" algn="ctr" rotWithShape="0">
                <a:schemeClr val="bg1">
                  <a:alpha val="70000"/>
                </a:schemeClr>
              </a:outerShdw>
            </a:effectLst>
            <a:scene3d>
              <a:camera prst="orthographicFront"/>
              <a:lightRig rig="threePt" dir="t"/>
            </a:scene3d>
            <a:sp3d>
              <a:bevelT h="889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IDa!$A$1:$A$23</c:f>
              <c:strCache>
                <c:ptCount val="23"/>
                <c:pt idx="1">
                  <c:v>Kukes</c:v>
                </c:pt>
                <c:pt idx="2">
                  <c:v>Berat</c:v>
                </c:pt>
                <c:pt idx="3">
                  <c:v>Kurbin</c:v>
                </c:pt>
                <c:pt idx="4">
                  <c:v>Lezhe</c:v>
                </c:pt>
                <c:pt idx="5">
                  <c:v>Lushnje</c:v>
                </c:pt>
                <c:pt idx="6">
                  <c:v>Tropoje</c:v>
                </c:pt>
                <c:pt idx="7">
                  <c:v>Tirane</c:v>
                </c:pt>
                <c:pt idx="8">
                  <c:v>Korce</c:v>
                </c:pt>
                <c:pt idx="9">
                  <c:v>Vlore</c:v>
                </c:pt>
                <c:pt idx="10">
                  <c:v>Shkoder</c:v>
                </c:pt>
                <c:pt idx="11">
                  <c:v>Kruje</c:v>
                </c:pt>
                <c:pt idx="12">
                  <c:v>Pogradec</c:v>
                </c:pt>
                <c:pt idx="13">
                  <c:v>Permet</c:v>
                </c:pt>
                <c:pt idx="14">
                  <c:v>Fier</c:v>
                </c:pt>
                <c:pt idx="15">
                  <c:v>Kavaje</c:v>
                </c:pt>
                <c:pt idx="16">
                  <c:v>Elbasan</c:v>
                </c:pt>
                <c:pt idx="17">
                  <c:v>Durres</c:v>
                </c:pt>
                <c:pt idx="18">
                  <c:v>Diber</c:v>
                </c:pt>
                <c:pt idx="19">
                  <c:v>Sarande</c:v>
                </c:pt>
                <c:pt idx="20">
                  <c:v>Gjirokaster</c:v>
                </c:pt>
                <c:pt idx="21">
                  <c:v>Mat</c:v>
                </c:pt>
                <c:pt idx="22">
                  <c:v>Puke</c:v>
                </c:pt>
              </c:strCache>
            </c:strRef>
          </c:cat>
          <c:val>
            <c:numRef>
              <c:f>IDa!$D$1:$D$23</c:f>
              <c:numCache>
                <c:formatCode>General</c:formatCode>
                <c:ptCount val="23"/>
                <c:pt idx="1">
                  <c:v>343</c:v>
                </c:pt>
                <c:pt idx="2">
                  <c:v>233</c:v>
                </c:pt>
                <c:pt idx="3">
                  <c:v>227</c:v>
                </c:pt>
                <c:pt idx="4">
                  <c:v>196</c:v>
                </c:pt>
                <c:pt idx="5">
                  <c:v>189</c:v>
                </c:pt>
                <c:pt idx="6">
                  <c:v>185</c:v>
                </c:pt>
                <c:pt idx="7">
                  <c:v>164</c:v>
                </c:pt>
                <c:pt idx="8">
                  <c:v>163</c:v>
                </c:pt>
                <c:pt idx="9">
                  <c:v>150</c:v>
                </c:pt>
                <c:pt idx="10">
                  <c:v>140</c:v>
                </c:pt>
                <c:pt idx="11">
                  <c:v>132</c:v>
                </c:pt>
                <c:pt idx="12">
                  <c:v>132</c:v>
                </c:pt>
                <c:pt idx="13">
                  <c:v>125</c:v>
                </c:pt>
                <c:pt idx="14">
                  <c:v>120</c:v>
                </c:pt>
                <c:pt idx="15">
                  <c:v>118</c:v>
                </c:pt>
                <c:pt idx="16">
                  <c:v>116</c:v>
                </c:pt>
                <c:pt idx="17">
                  <c:v>112</c:v>
                </c:pt>
                <c:pt idx="18">
                  <c:v>112</c:v>
                </c:pt>
                <c:pt idx="19">
                  <c:v>108</c:v>
                </c:pt>
                <c:pt idx="20">
                  <c:v>105</c:v>
                </c:pt>
                <c:pt idx="21">
                  <c:v>98</c:v>
                </c:pt>
                <c:pt idx="22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9F-4C34-8EE0-0E159303AE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0042368"/>
        <c:axId val="220043904"/>
      </c:barChart>
      <c:catAx>
        <c:axId val="22004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0043904"/>
        <c:crosses val="autoZero"/>
        <c:auto val="1"/>
        <c:lblAlgn val="ctr"/>
        <c:lblOffset val="100"/>
        <c:noMultiLvlLbl val="0"/>
      </c:catAx>
      <c:valAx>
        <c:axId val="2200439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2004236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5.2967225250689823E-2"/>
          <c:y val="0.27109147941873113"/>
          <c:w val="0.90899925970792128"/>
          <c:h val="0.482137556445219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regjistruar!$L$35</c:f>
              <c:strCache>
                <c:ptCount val="1"/>
                <c:pt idx="0">
                  <c:v>mesatare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scene3d>
              <a:camera prst="orthographicFront"/>
              <a:lightRig rig="threePt" dir="t"/>
            </a:scene3d>
            <a:sp3d prstMaterial="powder"/>
          </c:spPr>
          <c:invertIfNegative val="0"/>
          <c:dLbls>
            <c:spPr>
              <a:noFill/>
              <a:ln w="2538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9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regjistruar!$K$36:$K$57</c:f>
              <c:strCache>
                <c:ptCount val="22"/>
                <c:pt idx="0">
                  <c:v>Berat</c:v>
                </c:pt>
                <c:pt idx="1">
                  <c:v>Lushnje</c:v>
                </c:pt>
                <c:pt idx="2">
                  <c:v>Pogradec</c:v>
                </c:pt>
                <c:pt idx="3">
                  <c:v>Lezhë</c:v>
                </c:pt>
                <c:pt idx="4">
                  <c:v>Kurbin</c:v>
                </c:pt>
                <c:pt idx="5">
                  <c:v>Tiranë</c:v>
                </c:pt>
                <c:pt idx="6">
                  <c:v>Vlorë</c:v>
                </c:pt>
                <c:pt idx="7">
                  <c:v>Kukës</c:v>
                </c:pt>
                <c:pt idx="8">
                  <c:v>Saranda</c:v>
                </c:pt>
                <c:pt idx="9">
                  <c:v>Fier</c:v>
                </c:pt>
                <c:pt idx="10">
                  <c:v>Krujë</c:v>
                </c:pt>
                <c:pt idx="11">
                  <c:v>Gjirokastër</c:v>
                </c:pt>
                <c:pt idx="12">
                  <c:v>Tropojë</c:v>
                </c:pt>
                <c:pt idx="13">
                  <c:v>Durrës</c:v>
                </c:pt>
                <c:pt idx="14">
                  <c:v>Dibër</c:v>
                </c:pt>
                <c:pt idx="15">
                  <c:v>Korçë</c:v>
                </c:pt>
                <c:pt idx="16">
                  <c:v>Shkodër</c:v>
                </c:pt>
                <c:pt idx="17">
                  <c:v>Elbasan</c:v>
                </c:pt>
                <c:pt idx="18">
                  <c:v>Kavajë</c:v>
                </c:pt>
                <c:pt idx="19">
                  <c:v>Përmet</c:v>
                </c:pt>
                <c:pt idx="20">
                  <c:v>Mat</c:v>
                </c:pt>
                <c:pt idx="21">
                  <c:v>Pukë</c:v>
                </c:pt>
              </c:strCache>
            </c:strRef>
          </c:cat>
          <c:val>
            <c:numRef>
              <c:f>regjistruar!$L$36:$L$57</c:f>
              <c:numCache>
                <c:formatCode>0</c:formatCode>
                <c:ptCount val="22"/>
                <c:pt idx="0">
                  <c:v>135</c:v>
                </c:pt>
                <c:pt idx="1">
                  <c:v>131</c:v>
                </c:pt>
                <c:pt idx="2">
                  <c:v>128</c:v>
                </c:pt>
                <c:pt idx="3">
                  <c:v>121</c:v>
                </c:pt>
                <c:pt idx="4">
                  <c:v>114</c:v>
                </c:pt>
                <c:pt idx="5">
                  <c:v>114</c:v>
                </c:pt>
                <c:pt idx="6">
                  <c:v>111</c:v>
                </c:pt>
                <c:pt idx="7">
                  <c:v>111</c:v>
                </c:pt>
                <c:pt idx="8">
                  <c:v>105</c:v>
                </c:pt>
                <c:pt idx="9">
                  <c:v>101</c:v>
                </c:pt>
                <c:pt idx="10">
                  <c:v>99</c:v>
                </c:pt>
                <c:pt idx="11">
                  <c:v>94</c:v>
                </c:pt>
                <c:pt idx="12">
                  <c:v>94</c:v>
                </c:pt>
                <c:pt idx="13">
                  <c:v>92</c:v>
                </c:pt>
                <c:pt idx="14">
                  <c:v>92</c:v>
                </c:pt>
                <c:pt idx="15">
                  <c:v>91</c:v>
                </c:pt>
                <c:pt idx="16">
                  <c:v>85</c:v>
                </c:pt>
                <c:pt idx="17">
                  <c:v>78</c:v>
                </c:pt>
                <c:pt idx="18">
                  <c:v>78</c:v>
                </c:pt>
                <c:pt idx="19">
                  <c:v>71</c:v>
                </c:pt>
                <c:pt idx="20">
                  <c:v>56</c:v>
                </c:pt>
                <c:pt idx="2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13-4BA2-B379-6CB9065FB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shape val="cylinder"/>
        <c:axId val="222048256"/>
        <c:axId val="222049792"/>
        <c:axId val="0"/>
      </c:bar3DChart>
      <c:catAx>
        <c:axId val="222048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effectLst>
            <a:glow rad="127000">
              <a:schemeClr val="bg1"/>
            </a:glow>
          </a:effectLst>
        </c:spPr>
        <c:txPr>
          <a:bodyPr/>
          <a:lstStyle/>
          <a:p>
            <a:pPr>
              <a:defRPr sz="899" b="1"/>
            </a:pPr>
            <a:endParaRPr lang="en-US"/>
          </a:p>
        </c:txPr>
        <c:crossAx val="222049792"/>
        <c:crosses val="autoZero"/>
        <c:auto val="1"/>
        <c:lblAlgn val="ctr"/>
        <c:lblOffset val="100"/>
        <c:noMultiLvlLbl val="0"/>
      </c:catAx>
      <c:valAx>
        <c:axId val="22204979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22048256"/>
        <c:crosses val="autoZero"/>
        <c:crossBetween val="between"/>
      </c:valAx>
      <c:spPr>
        <a:noFill/>
        <a:ln w="25384">
          <a:noFill/>
        </a:ln>
      </c:spPr>
    </c:plotArea>
    <c:plotVisOnly val="1"/>
    <c:dispBlanksAs val="gap"/>
    <c:showDLblsOverMax val="0"/>
  </c:chart>
  <c:spPr>
    <a:noFill/>
    <a:ln>
      <a:noFill/>
    </a:ln>
    <a:effectLst>
      <a:outerShdw blurRad="50800" dist="50800" dir="5400000" algn="ctr" rotWithShape="0">
        <a:schemeClr val="bg1">
          <a:lumMod val="75000"/>
        </a:schemeClr>
      </a:outerShdw>
    </a:effectLst>
    <a:scene3d>
      <a:camera prst="orthographicFront"/>
      <a:lightRig rig="threePt" dir="t"/>
    </a:scene3d>
    <a:sp3d>
      <a:bevelT/>
      <a:bevelB/>
    </a:sp3d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0"/>
      <c:rotY val="20"/>
      <c:depthPercent val="100"/>
      <c:rAngAx val="1"/>
    </c:view3D>
    <c:floor>
      <c:thickness val="0"/>
      <c:spPr>
        <a:noFill/>
        <a:ln>
          <a:noFill/>
        </a:ln>
      </c:spPr>
    </c:floor>
    <c:sideWall>
      <c:thickness val="0"/>
      <c:spPr>
        <a:ln w="9525">
          <a:noFill/>
        </a:ln>
        <a:effectLst>
          <a:outerShdw blurRad="50800" dist="50800" dir="5400000" algn="ctr" rotWithShape="0">
            <a:schemeClr val="bg1">
              <a:lumMod val="75000"/>
            </a:schemeClr>
          </a:outerShdw>
        </a:effectLst>
        <a:scene3d>
          <a:camera prst="orthographicFront"/>
          <a:lightRig rig="threePt" dir="t"/>
        </a:scene3d>
        <a:sp3d>
          <a:bevelB/>
        </a:sp3d>
      </c:spPr>
    </c:sideWall>
    <c:backWall>
      <c:thickness val="0"/>
      <c:spPr>
        <a:ln w="9525">
          <a:noFill/>
        </a:ln>
        <a:effectLst>
          <a:outerShdw blurRad="50800" dist="50800" dir="5400000" algn="ctr" rotWithShape="0">
            <a:schemeClr val="bg1">
              <a:lumMod val="75000"/>
            </a:schemeClr>
          </a:outerShdw>
        </a:effectLst>
        <a:scene3d>
          <a:camera prst="orthographicFront"/>
          <a:lightRig rig="threePt" dir="t"/>
        </a:scene3d>
        <a:sp3d>
          <a:bevelB/>
        </a:sp3d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regjistruar!$H$90</c:f>
              <c:strCache>
                <c:ptCount val="1"/>
                <c:pt idx="0">
                  <c:v>mesatare prok/fakt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 prstMaterial="powder"/>
          </c:spPr>
          <c:invertIfNegative val="0"/>
          <c:dLbls>
            <c:spPr>
              <a:noFill/>
              <a:ln w="25386">
                <a:noFill/>
              </a:ln>
            </c:spPr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regjistruar!$G$91:$G$113</c:f>
              <c:strCache>
                <c:ptCount val="22"/>
                <c:pt idx="0">
                  <c:v>Berat</c:v>
                </c:pt>
                <c:pt idx="1">
                  <c:v>Lushnje</c:v>
                </c:pt>
                <c:pt idx="2">
                  <c:v>Tropojë</c:v>
                </c:pt>
                <c:pt idx="3">
                  <c:v>Kukës</c:v>
                </c:pt>
                <c:pt idx="4">
                  <c:v>Lezhë</c:v>
                </c:pt>
                <c:pt idx="5">
                  <c:v>Kurbin</c:v>
                </c:pt>
                <c:pt idx="6">
                  <c:v>Saranda</c:v>
                </c:pt>
                <c:pt idx="7">
                  <c:v>Kavajë</c:v>
                </c:pt>
                <c:pt idx="8">
                  <c:v>Tiranë</c:v>
                </c:pt>
                <c:pt idx="9">
                  <c:v>Pogradec</c:v>
                </c:pt>
                <c:pt idx="10">
                  <c:v>Korçë</c:v>
                </c:pt>
                <c:pt idx="11">
                  <c:v>Gjirokastër</c:v>
                </c:pt>
                <c:pt idx="12">
                  <c:v>Vlorë</c:v>
                </c:pt>
                <c:pt idx="13">
                  <c:v>Shkodër</c:v>
                </c:pt>
                <c:pt idx="14">
                  <c:v>Përmet</c:v>
                </c:pt>
                <c:pt idx="15">
                  <c:v>Krujë</c:v>
                </c:pt>
                <c:pt idx="16">
                  <c:v>Dibër</c:v>
                </c:pt>
                <c:pt idx="17">
                  <c:v>Fier</c:v>
                </c:pt>
                <c:pt idx="18">
                  <c:v>Durrës</c:v>
                </c:pt>
                <c:pt idx="19">
                  <c:v>Elbasan</c:v>
                </c:pt>
                <c:pt idx="20">
                  <c:v>Mat</c:v>
                </c:pt>
                <c:pt idx="21">
                  <c:v>Pukë</c:v>
                </c:pt>
              </c:strCache>
            </c:strRef>
          </c:cat>
          <c:val>
            <c:numRef>
              <c:f>regjistruar!$H$91:$H$113</c:f>
              <c:numCache>
                <c:formatCode>0</c:formatCode>
                <c:ptCount val="23"/>
                <c:pt idx="0">
                  <c:v>314</c:v>
                </c:pt>
                <c:pt idx="1">
                  <c:v>306</c:v>
                </c:pt>
                <c:pt idx="2">
                  <c:v>282</c:v>
                </c:pt>
                <c:pt idx="3">
                  <c:v>276</c:v>
                </c:pt>
                <c:pt idx="4">
                  <c:v>242</c:v>
                </c:pt>
                <c:pt idx="5">
                  <c:v>227</c:v>
                </c:pt>
                <c:pt idx="6">
                  <c:v>183</c:v>
                </c:pt>
                <c:pt idx="7">
                  <c:v>183</c:v>
                </c:pt>
                <c:pt idx="8">
                  <c:v>176</c:v>
                </c:pt>
                <c:pt idx="9">
                  <c:v>171</c:v>
                </c:pt>
                <c:pt idx="10">
                  <c:v>169</c:v>
                </c:pt>
                <c:pt idx="11">
                  <c:v>165</c:v>
                </c:pt>
                <c:pt idx="12">
                  <c:v>162</c:v>
                </c:pt>
                <c:pt idx="13">
                  <c:v>147</c:v>
                </c:pt>
                <c:pt idx="14">
                  <c:v>141</c:v>
                </c:pt>
                <c:pt idx="15">
                  <c:v>138</c:v>
                </c:pt>
                <c:pt idx="16">
                  <c:v>138</c:v>
                </c:pt>
                <c:pt idx="17">
                  <c:v>118</c:v>
                </c:pt>
                <c:pt idx="18">
                  <c:v>118</c:v>
                </c:pt>
                <c:pt idx="19">
                  <c:v>115</c:v>
                </c:pt>
                <c:pt idx="20">
                  <c:v>85</c:v>
                </c:pt>
                <c:pt idx="2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6A-4947-92C7-EB0A0D5D56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gapDepth val="417"/>
        <c:shape val="cylinder"/>
        <c:axId val="336661120"/>
        <c:axId val="336744832"/>
        <c:axId val="0"/>
      </c:bar3DChart>
      <c:catAx>
        <c:axId val="336661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 b="1"/>
            </a:pPr>
            <a:endParaRPr lang="en-US"/>
          </a:p>
        </c:txPr>
        <c:crossAx val="336744832"/>
        <c:crosses val="autoZero"/>
        <c:auto val="1"/>
        <c:lblAlgn val="ctr"/>
        <c:lblOffset val="100"/>
        <c:noMultiLvlLbl val="0"/>
      </c:catAx>
      <c:valAx>
        <c:axId val="3367448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336661120"/>
        <c:crosses val="autoZero"/>
        <c:crossBetween val="between"/>
      </c:valAx>
      <c:spPr>
        <a:noFill/>
        <a:ln w="25386">
          <a:noFill/>
        </a:ln>
      </c:spPr>
    </c:plotArea>
    <c:plotVisOnly val="1"/>
    <c:dispBlanksAs val="gap"/>
    <c:showDLblsOverMax val="0"/>
  </c:chart>
  <c:spPr>
    <a:noFill/>
    <a:ln>
      <a:solidFill>
        <a:schemeClr val="bg1">
          <a:alpha val="60000"/>
        </a:schemeClr>
      </a:solidFill>
    </a:ln>
    <a:scene3d>
      <a:camera prst="orthographicFront"/>
      <a:lightRig rig="threePt" dir="t"/>
    </a:scene3d>
    <a:sp3d>
      <a:bevelT/>
      <a:bevelB/>
    </a:sp3d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5.2967225250689823E-2"/>
          <c:y val="0.27109147941873113"/>
          <c:w val="0.90899925970792128"/>
          <c:h val="0.482137556445219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'ne hetim'!$L$35</c:f>
              <c:strCache>
                <c:ptCount val="1"/>
                <c:pt idx="0">
                  <c:v>mesatare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 prstMaterial="powder"/>
          </c:spPr>
          <c:invertIfNegative val="0"/>
          <c:dLbls>
            <c:spPr>
              <a:noFill/>
              <a:ln w="2538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'ne hetim'!$K$36:$K$57</c:f>
              <c:strCache>
                <c:ptCount val="22"/>
                <c:pt idx="0">
                  <c:v>Berat</c:v>
                </c:pt>
                <c:pt idx="1">
                  <c:v>Saranda</c:v>
                </c:pt>
                <c:pt idx="2">
                  <c:v>Kukës</c:v>
                </c:pt>
                <c:pt idx="3">
                  <c:v>Gjirokastër</c:v>
                </c:pt>
                <c:pt idx="4">
                  <c:v>Dibër</c:v>
                </c:pt>
                <c:pt idx="5">
                  <c:v>Lushnje</c:v>
                </c:pt>
                <c:pt idx="6">
                  <c:v>Vlorë</c:v>
                </c:pt>
                <c:pt idx="7">
                  <c:v>Pogradec</c:v>
                </c:pt>
                <c:pt idx="8">
                  <c:v>Kurbin</c:v>
                </c:pt>
                <c:pt idx="9">
                  <c:v>Tiranë</c:v>
                </c:pt>
                <c:pt idx="10">
                  <c:v>Korçë</c:v>
                </c:pt>
                <c:pt idx="11">
                  <c:v>Durrës</c:v>
                </c:pt>
                <c:pt idx="12">
                  <c:v>Krujë</c:v>
                </c:pt>
                <c:pt idx="13">
                  <c:v>Fier</c:v>
                </c:pt>
                <c:pt idx="14">
                  <c:v>Lezhë</c:v>
                </c:pt>
                <c:pt idx="15">
                  <c:v>Shkodër</c:v>
                </c:pt>
                <c:pt idx="16">
                  <c:v>Tropojë</c:v>
                </c:pt>
                <c:pt idx="17">
                  <c:v>Kavajë</c:v>
                </c:pt>
                <c:pt idx="18">
                  <c:v>Elbasan</c:v>
                </c:pt>
                <c:pt idx="19">
                  <c:v>Pukë</c:v>
                </c:pt>
                <c:pt idx="20">
                  <c:v>Përmet</c:v>
                </c:pt>
                <c:pt idx="21">
                  <c:v>Mat</c:v>
                </c:pt>
              </c:strCache>
            </c:strRef>
          </c:cat>
          <c:val>
            <c:numRef>
              <c:f>'ne hetim'!$L$36:$L$57</c:f>
              <c:numCache>
                <c:formatCode>0</c:formatCode>
                <c:ptCount val="22"/>
                <c:pt idx="0">
                  <c:v>381</c:v>
                </c:pt>
                <c:pt idx="1">
                  <c:v>302</c:v>
                </c:pt>
                <c:pt idx="2">
                  <c:v>291</c:v>
                </c:pt>
                <c:pt idx="3">
                  <c:v>266</c:v>
                </c:pt>
                <c:pt idx="4">
                  <c:v>261</c:v>
                </c:pt>
                <c:pt idx="5">
                  <c:v>251</c:v>
                </c:pt>
                <c:pt idx="6">
                  <c:v>249</c:v>
                </c:pt>
                <c:pt idx="7">
                  <c:v>243</c:v>
                </c:pt>
                <c:pt idx="8">
                  <c:v>242</c:v>
                </c:pt>
                <c:pt idx="9">
                  <c:v>229</c:v>
                </c:pt>
                <c:pt idx="10">
                  <c:v>227</c:v>
                </c:pt>
                <c:pt idx="11">
                  <c:v>222</c:v>
                </c:pt>
                <c:pt idx="12">
                  <c:v>220</c:v>
                </c:pt>
                <c:pt idx="13">
                  <c:v>211</c:v>
                </c:pt>
                <c:pt idx="14">
                  <c:v>193</c:v>
                </c:pt>
                <c:pt idx="15">
                  <c:v>186</c:v>
                </c:pt>
                <c:pt idx="16">
                  <c:v>174</c:v>
                </c:pt>
                <c:pt idx="17">
                  <c:v>163</c:v>
                </c:pt>
                <c:pt idx="18">
                  <c:v>150</c:v>
                </c:pt>
                <c:pt idx="19">
                  <c:v>132</c:v>
                </c:pt>
                <c:pt idx="20">
                  <c:v>115</c:v>
                </c:pt>
                <c:pt idx="21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C-4591-82A7-C82BC7DA99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shape val="cylinder"/>
        <c:axId val="462256384"/>
        <c:axId val="462307328"/>
        <c:axId val="0"/>
      </c:bar3DChart>
      <c:catAx>
        <c:axId val="462256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>
            <a:solidFill>
              <a:schemeClr val="bg1">
                <a:lumMod val="85000"/>
              </a:schemeClr>
            </a:solidFill>
          </a:ln>
        </c:spPr>
        <c:txPr>
          <a:bodyPr anchor="ctr" anchorCtr="0"/>
          <a:lstStyle/>
          <a:p>
            <a:pPr>
              <a:defRPr b="1">
                <a:ln>
                  <a:noFill/>
                </a:ln>
                <a:solidFill>
                  <a:schemeClr val="tx1"/>
                </a:solidFill>
              </a:defRPr>
            </a:pPr>
            <a:endParaRPr lang="en-US"/>
          </a:p>
        </c:txPr>
        <c:crossAx val="462307328"/>
        <c:crosses val="autoZero"/>
        <c:auto val="1"/>
        <c:lblAlgn val="ctr"/>
        <c:lblOffset val="100"/>
        <c:noMultiLvlLbl val="0"/>
      </c:catAx>
      <c:valAx>
        <c:axId val="46230732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462256384"/>
        <c:crosses val="autoZero"/>
        <c:crossBetween val="between"/>
      </c:valAx>
      <c:spPr>
        <a:noFill/>
        <a:ln w="25387">
          <a:noFill/>
        </a:ln>
      </c:spPr>
    </c:plotArea>
    <c:plotVisOnly val="1"/>
    <c:dispBlanksAs val="gap"/>
    <c:showDLblsOverMax val="0"/>
  </c:chart>
  <c:spPr>
    <a:noFill/>
    <a:ln>
      <a:noFill/>
    </a:ln>
    <a:effectLst>
      <a:outerShdw blurRad="50800" dist="50800" dir="5400000" algn="ctr" rotWithShape="0">
        <a:schemeClr val="bg1">
          <a:lumMod val="75000"/>
        </a:schemeClr>
      </a:outerShdw>
    </a:effectLst>
    <a:scene3d>
      <a:camera prst="orthographicFront"/>
      <a:lightRig rig="threePt" dir="t"/>
    </a:scene3d>
    <a:sp3d>
      <a:bevelT/>
      <a:bevelB/>
    </a:sp3d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</c:spPr>
    </c:floor>
    <c:sideWall>
      <c:thickness val="0"/>
      <c:spPr>
        <a:ln>
          <a:noFill/>
        </a:ln>
        <a:effectLst>
          <a:outerShdw blurRad="50800" dist="50800" dir="5400000" algn="ctr" rotWithShape="0">
            <a:schemeClr val="bg1">
              <a:lumMod val="75000"/>
            </a:schemeClr>
          </a:outerShdw>
        </a:effectLst>
      </c:spPr>
    </c:sideWall>
    <c:backWall>
      <c:thickness val="0"/>
      <c:spPr>
        <a:ln>
          <a:noFill/>
        </a:ln>
        <a:effectLst>
          <a:outerShdw blurRad="50800" dist="50800" dir="5400000" algn="ctr" rotWithShape="0">
            <a:schemeClr val="bg1">
              <a:lumMod val="75000"/>
            </a:schemeClr>
          </a:outerShdw>
        </a:effectLst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'ne hetim'!$H$90</c:f>
              <c:strCache>
                <c:ptCount val="1"/>
                <c:pt idx="0">
                  <c:v>mesatare prok/fakt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powder">
              <a:bevelT/>
            </a:sp3d>
          </c:spPr>
          <c:invertIfNegative val="0"/>
          <c:dLbls>
            <c:spPr>
              <a:noFill/>
              <a:ln w="25379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'ne hetim'!$G$91:$G$113</c:f>
              <c:strCache>
                <c:ptCount val="22"/>
                <c:pt idx="0">
                  <c:v>Berat</c:v>
                </c:pt>
                <c:pt idx="1">
                  <c:v>Saranda</c:v>
                </c:pt>
                <c:pt idx="2">
                  <c:v>Lushnje</c:v>
                </c:pt>
                <c:pt idx="3">
                  <c:v>Tropojë</c:v>
                </c:pt>
                <c:pt idx="4">
                  <c:v>Kurbin</c:v>
                </c:pt>
                <c:pt idx="5">
                  <c:v>Kukës</c:v>
                </c:pt>
                <c:pt idx="6">
                  <c:v>Gjirokastër</c:v>
                </c:pt>
                <c:pt idx="7">
                  <c:v>Korçë</c:v>
                </c:pt>
                <c:pt idx="8">
                  <c:v>Vlorë</c:v>
                </c:pt>
                <c:pt idx="9">
                  <c:v>Dibër</c:v>
                </c:pt>
                <c:pt idx="10">
                  <c:v>Lezhë</c:v>
                </c:pt>
                <c:pt idx="11">
                  <c:v>Kavajë</c:v>
                </c:pt>
                <c:pt idx="12">
                  <c:v>Shkodër</c:v>
                </c:pt>
                <c:pt idx="13">
                  <c:v>Tiranë</c:v>
                </c:pt>
                <c:pt idx="14">
                  <c:v>Pogradec</c:v>
                </c:pt>
                <c:pt idx="15">
                  <c:v>Krujë</c:v>
                </c:pt>
                <c:pt idx="16">
                  <c:v>Durrës</c:v>
                </c:pt>
                <c:pt idx="17">
                  <c:v>Pukë</c:v>
                </c:pt>
                <c:pt idx="18">
                  <c:v>Fier</c:v>
                </c:pt>
                <c:pt idx="19">
                  <c:v>Përmet</c:v>
                </c:pt>
                <c:pt idx="20">
                  <c:v>Elbasan</c:v>
                </c:pt>
                <c:pt idx="21">
                  <c:v>Mat</c:v>
                </c:pt>
              </c:strCache>
            </c:strRef>
          </c:cat>
          <c:val>
            <c:numRef>
              <c:f>'ne hetim'!$H$91:$H$113</c:f>
              <c:numCache>
                <c:formatCode>0</c:formatCode>
                <c:ptCount val="23"/>
                <c:pt idx="0">
                  <c:v>888</c:v>
                </c:pt>
                <c:pt idx="1">
                  <c:v>705</c:v>
                </c:pt>
                <c:pt idx="2">
                  <c:v>586</c:v>
                </c:pt>
                <c:pt idx="3">
                  <c:v>523</c:v>
                </c:pt>
                <c:pt idx="4">
                  <c:v>483</c:v>
                </c:pt>
                <c:pt idx="5">
                  <c:v>478</c:v>
                </c:pt>
                <c:pt idx="6">
                  <c:v>465</c:v>
                </c:pt>
                <c:pt idx="7">
                  <c:v>422</c:v>
                </c:pt>
                <c:pt idx="8">
                  <c:v>393</c:v>
                </c:pt>
                <c:pt idx="9">
                  <c:v>392</c:v>
                </c:pt>
                <c:pt idx="10">
                  <c:v>386</c:v>
                </c:pt>
                <c:pt idx="11">
                  <c:v>381</c:v>
                </c:pt>
                <c:pt idx="12">
                  <c:v>354</c:v>
                </c:pt>
                <c:pt idx="13">
                  <c:v>352</c:v>
                </c:pt>
                <c:pt idx="14">
                  <c:v>323</c:v>
                </c:pt>
                <c:pt idx="15">
                  <c:v>307</c:v>
                </c:pt>
                <c:pt idx="16">
                  <c:v>286</c:v>
                </c:pt>
                <c:pt idx="17">
                  <c:v>265</c:v>
                </c:pt>
                <c:pt idx="18">
                  <c:v>247</c:v>
                </c:pt>
                <c:pt idx="19">
                  <c:v>231</c:v>
                </c:pt>
                <c:pt idx="20">
                  <c:v>220</c:v>
                </c:pt>
                <c:pt idx="2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11-4E5F-8892-3904762C2B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7"/>
        <c:gapDepth val="271"/>
        <c:shape val="cylinder"/>
        <c:axId val="462361728"/>
        <c:axId val="462363264"/>
        <c:axId val="0"/>
      </c:bar3DChart>
      <c:catAx>
        <c:axId val="462361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85000"/>
              </a:schemeClr>
            </a:solidFill>
          </a:ln>
          <a:effectLst>
            <a:glow rad="127000">
              <a:schemeClr val="bg1">
                <a:lumMod val="95000"/>
              </a:schemeClr>
            </a:glow>
          </a:effectLst>
        </c:spPr>
        <c:txPr>
          <a:bodyPr/>
          <a:lstStyle/>
          <a:p>
            <a:pPr>
              <a:defRPr b="1"/>
            </a:pPr>
            <a:endParaRPr lang="en-US"/>
          </a:p>
        </c:txPr>
        <c:crossAx val="462363264"/>
        <c:crosses val="autoZero"/>
        <c:auto val="1"/>
        <c:lblAlgn val="ctr"/>
        <c:lblOffset val="100"/>
        <c:noMultiLvlLbl val="0"/>
      </c:catAx>
      <c:valAx>
        <c:axId val="4623632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462361728"/>
        <c:crosses val="autoZero"/>
        <c:crossBetween val="between"/>
      </c:valAx>
      <c:spPr>
        <a:noFill/>
        <a:ln w="25379">
          <a:noFill/>
        </a:ln>
      </c:spPr>
    </c:plotArea>
    <c:plotVisOnly val="1"/>
    <c:dispBlanksAs val="gap"/>
    <c:showDLblsOverMax val="0"/>
  </c:chart>
  <c:spPr>
    <a:noFill/>
    <a:ln>
      <a:noFill/>
    </a:ln>
    <a:effectLst>
      <a:glow rad="101600">
        <a:schemeClr val="accent1">
          <a:satMod val="175000"/>
          <a:alpha val="40000"/>
        </a:schemeClr>
      </a:glow>
    </a:effectLst>
    <a:scene3d>
      <a:camera prst="orthographicFront"/>
      <a:lightRig rig="threePt" dir="t"/>
    </a:scene3d>
    <a:sp3d>
      <a:bevelT/>
      <a:bevelB/>
    </a:sp3d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Mesatarja</a:t>
            </a:r>
            <a:r>
              <a:rPr lang="en-US" sz="1200" baseline="0"/>
              <a:t> për prokuror për çështjet e përfunduara </a:t>
            </a:r>
            <a:endParaRPr lang="en-US" sz="1200"/>
          </a:p>
        </c:rich>
      </c:tx>
      <c:layout>
        <c:manualLayout>
          <c:xMode val="edge"/>
          <c:yMode val="edge"/>
          <c:x val="0.25673174183876929"/>
          <c:y val="6.362976132918335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1179297229378013E-2"/>
          <c:y val="0.21935405473593356"/>
          <c:w val="0.95764140554124411"/>
          <c:h val="0.48441335687121728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IDa!$D$40</c:f>
              <c:strCache>
                <c:ptCount val="1"/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/>
              </a:solidFill>
            </a:ln>
            <a:effectLst>
              <a:innerShdw blurRad="63500" dir="5520000">
                <a:prstClr val="black">
                  <a:alpha val="85000"/>
                </a:prstClr>
              </a:innerShdw>
            </a:effectLst>
            <a:scene3d>
              <a:camera prst="orthographicFront"/>
              <a:lightRig rig="threePt" dir="t"/>
            </a:scene3d>
            <a:sp3d prstMaterial="plastic"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IDa!$A$41:$A$46</c:f>
              <c:strCache>
                <c:ptCount val="6"/>
                <c:pt idx="0">
                  <c:v>Apeli             Shkodër</c:v>
                </c:pt>
                <c:pt idx="1">
                  <c:v>Apeli                  Vlorë</c:v>
                </c:pt>
                <c:pt idx="2">
                  <c:v>Apeli              Tiranë</c:v>
                </c:pt>
                <c:pt idx="3">
                  <c:v>Apeli             Korçë</c:v>
                </c:pt>
                <c:pt idx="4">
                  <c:v>Apeli Gjirokastër</c:v>
                </c:pt>
                <c:pt idx="5">
                  <c:v>Apeli              Durrës </c:v>
                </c:pt>
              </c:strCache>
            </c:strRef>
          </c:cat>
          <c:val>
            <c:numRef>
              <c:f>IDa!$D$41:$D$46</c:f>
              <c:numCache>
                <c:formatCode>General</c:formatCode>
                <c:ptCount val="6"/>
                <c:pt idx="0">
                  <c:v>350</c:v>
                </c:pt>
                <c:pt idx="1">
                  <c:v>343</c:v>
                </c:pt>
                <c:pt idx="2">
                  <c:v>316</c:v>
                </c:pt>
                <c:pt idx="3">
                  <c:v>204</c:v>
                </c:pt>
                <c:pt idx="4">
                  <c:v>185</c:v>
                </c:pt>
                <c:pt idx="5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C8-4673-B797-D5E81E299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2687616"/>
        <c:axId val="462693504"/>
      </c:barChart>
      <c:catAx>
        <c:axId val="46268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693504"/>
        <c:crosses val="autoZero"/>
        <c:auto val="1"/>
        <c:lblAlgn val="ctr"/>
        <c:lblOffset val="100"/>
        <c:noMultiLvlLbl val="0"/>
      </c:catAx>
      <c:valAx>
        <c:axId val="4626935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6268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0.38341</cdr:x>
      <cdr:y>0.02689</cdr:y>
    </cdr:from>
    <cdr:to>
      <cdr:x>0.72512</cdr:x>
      <cdr:y>0.07811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56552" y="135228"/>
          <a:ext cx="1832868" cy="2575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n>
                <a:solidFill>
                  <a:schemeClr val="bg1">
                    <a:lumMod val="85000"/>
                  </a:schemeClr>
                </a:solidFill>
              </a:ln>
              <a:solidFill>
                <a:sysClr val="windowText" lastClr="000000"/>
              </a:solidFill>
            </a:rPr>
            <a:t>Volumi në hetim 2021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0.18176</cdr:x>
      <cdr:y>0.08961</cdr:y>
    </cdr:from>
    <cdr:to>
      <cdr:x>0.86841</cdr:x>
      <cdr:y>0.20839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1081824" y="294968"/>
          <a:ext cx="4082603" cy="392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="1" i="0" baseline="0">
              <a:effectLst/>
              <a:latin typeface="+mn-lt"/>
              <a:ea typeface="+mn-ea"/>
              <a:cs typeface="+mn-cs"/>
            </a:rPr>
            <a:t>Procedime regjistruar për çdo prokuror sipas numrit organik</a:t>
          </a:r>
          <a:endParaRPr lang="en-US">
            <a:effectLst/>
          </a:endParaRPr>
        </a:p>
        <a:p xmlns:a="http://schemas.openxmlformats.org/drawingml/2006/main">
          <a:endParaRPr 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0.28591</cdr:x>
      <cdr:y>0.01037</cdr:y>
    </cdr:from>
    <cdr:to>
      <cdr:x>0.771</cdr:x>
      <cdr:y>0.21992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09776" y="47626"/>
          <a:ext cx="3409950" cy="962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0.32114</cdr:x>
      <cdr:y>0.07469</cdr:y>
    </cdr:from>
    <cdr:to>
      <cdr:x>0.4187</cdr:x>
      <cdr:y>0.12448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57426" y="342901"/>
          <a:ext cx="6858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0.22427</cdr:x>
      <cdr:y>0.05143</cdr:y>
    </cdr:from>
    <cdr:to>
      <cdr:x>0.85157</cdr:x>
      <cdr:y>0.16257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332963" y="199623"/>
          <a:ext cx="3728434" cy="4314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="1" i="0" baseline="0">
              <a:effectLst/>
              <a:latin typeface="+mn-lt"/>
              <a:ea typeface="+mn-ea"/>
              <a:cs typeface="+mn-cs"/>
            </a:rPr>
            <a:t>Procedime regjistruar për çdo prokuror sipas numrit </a:t>
          </a:r>
          <a:r>
            <a:rPr lang="en-GB" sz="1100" b="1" i="0" baseline="0">
              <a:effectLst/>
              <a:latin typeface="+mn-lt"/>
              <a:ea typeface="+mn-ea"/>
              <a:cs typeface="+mn-cs"/>
            </a:rPr>
            <a:t>faktik</a:t>
          </a:r>
          <a:endParaRPr lang="en-GB">
            <a:effectLst/>
          </a:endParaRPr>
        </a:p>
        <a:p xmlns:a="http://schemas.openxmlformats.org/drawingml/2006/main">
          <a:endParaRPr lang="en-GB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0.19393</cdr:x>
      <cdr:y>0.09011</cdr:y>
    </cdr:from>
    <cdr:to>
      <cdr:x>0.90033</cdr:x>
      <cdr:y>0.20989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1152658" y="277402"/>
          <a:ext cx="4198514" cy="36874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="1" i="0" baseline="0">
              <a:ln>
                <a:solidFill>
                  <a:schemeClr val="bg1">
                    <a:lumMod val="75000"/>
                  </a:schemeClr>
                </a:solidFill>
              </a:ln>
              <a:solidFill>
                <a:schemeClr val="tx1"/>
              </a:solidFill>
              <a:effectLst/>
              <a:latin typeface="+mn-lt"/>
              <a:ea typeface="+mn-ea"/>
              <a:cs typeface="+mn-cs"/>
            </a:rPr>
            <a:t>Ngarkesa mesatare në hetim për çdo prokuror sipas numrit organik</a:t>
          </a:r>
          <a:endParaRPr lang="en-US">
            <a:ln>
              <a:solidFill>
                <a:schemeClr val="bg1">
                  <a:lumMod val="75000"/>
                </a:schemeClr>
              </a:solidFill>
            </a:ln>
            <a:solidFill>
              <a:schemeClr val="tx1"/>
            </a:solidFill>
            <a:effectLst/>
          </a:endParaRPr>
        </a:p>
        <a:p xmlns:a="http://schemas.openxmlformats.org/drawingml/2006/main">
          <a:endParaRPr lang="en-US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0.28591</cdr:x>
      <cdr:y>0.01037</cdr:y>
    </cdr:from>
    <cdr:to>
      <cdr:x>0.771</cdr:x>
      <cdr:y>0.21992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09776" y="47626"/>
          <a:ext cx="3409950" cy="962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0.32114</cdr:x>
      <cdr:y>0.07469</cdr:y>
    </cdr:from>
    <cdr:to>
      <cdr:x>0.4187</cdr:x>
      <cdr:y>0.12448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57426" y="342901"/>
          <a:ext cx="6858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0.26977</cdr:x>
      <cdr:y>0.09336</cdr:y>
    </cdr:from>
    <cdr:to>
      <cdr:x>0.9545</cdr:x>
      <cdr:y>0.26971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603421" y="304481"/>
          <a:ext cx="4069724" cy="5751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="1" i="0" baseline="0">
              <a:ln>
                <a:solidFill>
                  <a:schemeClr val="bg1">
                    <a:lumMod val="75000"/>
                  </a:schemeClr>
                </a:solidFill>
              </a:ln>
              <a:effectLst/>
              <a:latin typeface="+mn-lt"/>
              <a:ea typeface="+mn-ea"/>
              <a:cs typeface="+mn-cs"/>
            </a:rPr>
            <a:t>Ngarkesa mesatare në hetim për çdo prokuror sipas numrit </a:t>
          </a:r>
          <a:r>
            <a:rPr lang="en-GB" sz="1100" b="1" i="0" baseline="0">
              <a:ln>
                <a:solidFill>
                  <a:schemeClr val="bg1">
                    <a:lumMod val="75000"/>
                  </a:schemeClr>
                </a:solidFill>
              </a:ln>
              <a:effectLst/>
              <a:latin typeface="+mn-lt"/>
              <a:ea typeface="+mn-ea"/>
              <a:cs typeface="+mn-cs"/>
            </a:rPr>
            <a:t>faktik</a:t>
          </a:r>
          <a:endParaRPr lang="en-GB">
            <a:ln>
              <a:solidFill>
                <a:schemeClr val="bg1">
                  <a:lumMod val="75000"/>
                </a:schemeClr>
              </a:solidFill>
            </a:ln>
            <a:effectLst/>
          </a:endParaRPr>
        </a:p>
        <a:p xmlns:a="http://schemas.openxmlformats.org/drawingml/2006/main">
          <a:endParaRPr lang="en-GB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3794-8F3A-42A6-8DDF-4ED63B1450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6407</Words>
  <Characters>36524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Kujtim Luli</dc:creator>
  <cp:lastModifiedBy>Rozeta Tase</cp:lastModifiedBy>
  <cp:revision>2</cp:revision>
  <cp:lastPrinted>2022-05-15T18:36:00Z</cp:lastPrinted>
  <dcterms:created xsi:type="dcterms:W3CDTF">2022-05-16T10:36:00Z</dcterms:created>
  <dcterms:modified xsi:type="dcterms:W3CDTF">2022-05-16T10:36:00Z</dcterms:modified>
</cp:coreProperties>
</file>